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29FD4" w14:textId="4DF080EF" w:rsidR="002E2C55" w:rsidRPr="002E2C55" w:rsidRDefault="002E2C55" w:rsidP="07892D0C">
      <w:pPr>
        <w:pStyle w:val="paragraph"/>
        <w:spacing w:before="0" w:beforeAutospacing="0" w:after="0" w:afterAutospacing="0"/>
        <w:jc w:val="center"/>
        <w:textAlignment w:val="baseline"/>
        <w:rPr>
          <w:rStyle w:val="eop"/>
          <w:b/>
          <w:bCs/>
          <w:sz w:val="22"/>
          <w:szCs w:val="22"/>
        </w:rPr>
      </w:pPr>
      <w:r w:rsidRPr="07892D0C">
        <w:rPr>
          <w:rStyle w:val="eop"/>
          <w:b/>
          <w:bCs/>
        </w:rPr>
        <w:t>Theological Integrations Course Proposal and Teaching Guidelines</w:t>
      </w:r>
    </w:p>
    <w:p w14:paraId="7696BC6D" w14:textId="6F064ADB" w:rsidR="002E2C55" w:rsidRPr="002E2C55" w:rsidRDefault="002E2C55" w:rsidP="002E2C55">
      <w:pPr>
        <w:pStyle w:val="paragraph"/>
        <w:spacing w:before="0" w:beforeAutospacing="0" w:after="0" w:afterAutospacing="0"/>
        <w:jc w:val="center"/>
        <w:textAlignment w:val="baseline"/>
        <w:rPr>
          <w:rFonts w:ascii="Segoe UI" w:hAnsi="Segoe UI" w:cs="Segoe UI"/>
          <w:sz w:val="18"/>
          <w:szCs w:val="18"/>
        </w:rPr>
      </w:pPr>
      <w:r w:rsidRPr="07892D0C">
        <w:rPr>
          <w:rStyle w:val="eop"/>
        </w:rPr>
        <w:t> </w:t>
      </w:r>
    </w:p>
    <w:p w14:paraId="163FE3D0" w14:textId="343C22E9" w:rsidR="13ED8701" w:rsidRDefault="13ED8701" w:rsidP="07892D0C">
      <w:pPr>
        <w:pStyle w:val="paragraph"/>
        <w:spacing w:before="0" w:beforeAutospacing="0" w:after="0" w:afterAutospacing="0"/>
        <w:rPr>
          <w:rStyle w:val="normaltextrun"/>
          <w:b/>
          <w:bCs/>
          <w:color w:val="000000" w:themeColor="text1"/>
          <w:u w:val="single"/>
        </w:rPr>
      </w:pPr>
      <w:r w:rsidRPr="07892D0C">
        <w:rPr>
          <w:rStyle w:val="normaltextrun"/>
          <w:b/>
          <w:bCs/>
          <w:color w:val="000000" w:themeColor="text1"/>
          <w:u w:val="single"/>
        </w:rPr>
        <w:t>Course Overview</w:t>
      </w:r>
    </w:p>
    <w:p w14:paraId="02141E43" w14:textId="77777777" w:rsidR="00815B2B" w:rsidRDefault="00815B2B" w:rsidP="07892D0C">
      <w:pPr>
        <w:pStyle w:val="paragraph"/>
        <w:spacing w:before="0" w:beforeAutospacing="0" w:after="0" w:afterAutospacing="0"/>
        <w:rPr>
          <w:rStyle w:val="normaltextrun"/>
          <w:b/>
          <w:bCs/>
          <w:color w:val="000000" w:themeColor="text1"/>
          <w:u w:val="single"/>
        </w:rPr>
      </w:pPr>
    </w:p>
    <w:p w14:paraId="1F549F1C" w14:textId="513FAEC3" w:rsidR="002E2C55" w:rsidRDefault="002E2C55" w:rsidP="00F7605D">
      <w:pPr>
        <w:pStyle w:val="paragraph"/>
        <w:spacing w:before="0" w:beforeAutospacing="0" w:after="0" w:afterAutospacing="0"/>
        <w:rPr>
          <w:rStyle w:val="eop"/>
        </w:rPr>
      </w:pPr>
      <w:r w:rsidRPr="40FDC157">
        <w:rPr>
          <w:rStyle w:val="normaltextrun"/>
          <w:color w:val="000000" w:themeColor="text1"/>
        </w:rPr>
        <w:t>The requirement of the Theology course sequence in the Integrations curriculum emerges out of the College of St. Benedict and St. John’s University’s unique mission as Catholic Benedictine institutions.</w:t>
      </w:r>
      <w:r w:rsidRPr="40FDC157">
        <w:rPr>
          <w:rStyle w:val="apple-converted-space"/>
          <w:color w:val="000000" w:themeColor="text1"/>
        </w:rPr>
        <w:t> </w:t>
      </w:r>
      <w:r w:rsidR="00C142AD" w:rsidRPr="40FDC157">
        <w:rPr>
          <w:rStyle w:val="normaltextrun"/>
          <w:color w:val="000000" w:themeColor="text1"/>
        </w:rPr>
        <w:t>The discipline of theology occurs within the bounds of a commitment to a</w:t>
      </w:r>
      <w:r w:rsidR="00C142AD" w:rsidRPr="40FDC157">
        <w:rPr>
          <w:rStyle w:val="apple-converted-space"/>
          <w:color w:val="000000" w:themeColor="text1"/>
        </w:rPr>
        <w:t> </w:t>
      </w:r>
      <w:proofErr w:type="gramStart"/>
      <w:r w:rsidR="00C142AD" w:rsidRPr="40FDC157">
        <w:rPr>
          <w:rStyle w:val="normaltextrun"/>
          <w:color w:val="000000" w:themeColor="text1"/>
        </w:rPr>
        <w:t>particular religious</w:t>
      </w:r>
      <w:proofErr w:type="gramEnd"/>
      <w:r w:rsidR="00C142AD" w:rsidRPr="40FDC157">
        <w:rPr>
          <w:rStyle w:val="apple-converted-space"/>
          <w:color w:val="000000" w:themeColor="text1"/>
        </w:rPr>
        <w:t> </w:t>
      </w:r>
      <w:r w:rsidR="00C142AD" w:rsidRPr="40FDC157">
        <w:rPr>
          <w:rStyle w:val="normaltextrun"/>
          <w:color w:val="000000" w:themeColor="text1"/>
        </w:rPr>
        <w:t>community</w:t>
      </w:r>
      <w:r w:rsidR="74F0B92E" w:rsidRPr="40FDC157">
        <w:rPr>
          <w:rStyle w:val="normaltextrun"/>
          <w:color w:val="000000" w:themeColor="text1"/>
        </w:rPr>
        <w:t>:</w:t>
      </w:r>
      <w:r w:rsidR="00C142AD" w:rsidRPr="40FDC157">
        <w:rPr>
          <w:rStyle w:val="normaltextrun"/>
          <w:color w:val="000000" w:themeColor="text1"/>
        </w:rPr>
        <w:t xml:space="preserve"> its scripture, traditions, and practices; and the willingness to affirm the normativity of its truth and values.</w:t>
      </w:r>
      <w:r w:rsidR="00C142AD" w:rsidRPr="40FDC157">
        <w:rPr>
          <w:rStyle w:val="apple-converted-space"/>
          <w:color w:val="000000" w:themeColor="text1"/>
        </w:rPr>
        <w:t> </w:t>
      </w:r>
      <w:commentRangeStart w:id="0"/>
      <w:commentRangeStart w:id="1"/>
      <w:commentRangeStart w:id="2"/>
      <w:commentRangeEnd w:id="0"/>
      <w:r>
        <w:commentReference w:id="0"/>
      </w:r>
      <w:r w:rsidR="00EF1542">
        <w:t xml:space="preserve">This is in contrast with the discipline of religious studies, which calls </w:t>
      </w:r>
      <w:commentRangeEnd w:id="1"/>
      <w:r w:rsidR="00EF1542">
        <w:t>f</w:t>
      </w:r>
      <w:r w:rsidR="00EF1542" w:rsidRPr="40FDC157">
        <w:rPr>
          <w:rStyle w:val="normaltextrun"/>
          <w:color w:val="000000" w:themeColor="text1"/>
        </w:rPr>
        <w:t>or a descriptive, non-normative study of religion/s</w:t>
      </w:r>
      <w:r w:rsidR="00EF1542">
        <w:t xml:space="preserve">. </w:t>
      </w:r>
      <w:r>
        <w:commentReference w:id="1"/>
      </w:r>
      <w:commentRangeEnd w:id="2"/>
      <w:r>
        <w:commentReference w:id="2"/>
      </w:r>
      <w:r w:rsidR="00C142AD" w:rsidRPr="40FDC157">
        <w:rPr>
          <w:rStyle w:val="normaltextrun"/>
          <w:color w:val="000000" w:themeColor="text1"/>
        </w:rPr>
        <w:t>For example,</w:t>
      </w:r>
      <w:r w:rsidR="00C142AD" w:rsidRPr="40FDC157">
        <w:rPr>
          <w:rStyle w:val="apple-converted-space"/>
          <w:color w:val="000000" w:themeColor="text1"/>
        </w:rPr>
        <w:t> </w:t>
      </w:r>
      <w:r w:rsidR="00C142AD" w:rsidRPr="40FDC157">
        <w:rPr>
          <w:rStyle w:val="normaltextrun"/>
          <w:color w:val="000000" w:themeColor="text1"/>
        </w:rPr>
        <w:t>Christian theology classically has been defined as ‘faith seeking understanding,’ where faith is the point of departure and return in a reasoned search to understand the contents of that faith better. Thus, it is an inquiry into faith, belief, and the religious dimensions of human existence,</w:t>
      </w:r>
      <w:r w:rsidR="00C142AD" w:rsidRPr="40FDC157">
        <w:rPr>
          <w:rStyle w:val="apple-converted-space"/>
          <w:color w:val="000000" w:themeColor="text1"/>
        </w:rPr>
        <w:t> </w:t>
      </w:r>
      <w:r w:rsidR="00C142AD" w:rsidRPr="40FDC157">
        <w:rPr>
          <w:rStyle w:val="normaltextrun"/>
          <w:color w:val="212529"/>
        </w:rPr>
        <w:t>whether one’s own or that of others.</w:t>
      </w:r>
      <w:r w:rsidR="00C142AD" w:rsidRPr="40FDC157">
        <w:rPr>
          <w:rStyle w:val="apple-converted-space"/>
          <w:color w:val="212529"/>
        </w:rPr>
        <w:t> </w:t>
      </w:r>
      <w:r w:rsidR="00C142AD" w:rsidRPr="40FDC157">
        <w:rPr>
          <w:rStyle w:val="scxw55008030"/>
        </w:rPr>
        <w:t> </w:t>
      </w:r>
      <w:r w:rsidR="3DD800E9" w:rsidRPr="40FDC157">
        <w:rPr>
          <w:rStyle w:val="normaltextrun"/>
          <w:color w:val="000000" w:themeColor="text1"/>
        </w:rPr>
        <w:t>This</w:t>
      </w:r>
      <w:r w:rsidRPr="40FDC157">
        <w:rPr>
          <w:rStyle w:val="apple-converted-space"/>
          <w:color w:val="000000" w:themeColor="text1"/>
        </w:rPr>
        <w:t> </w:t>
      </w:r>
      <w:r w:rsidRPr="40FDC157">
        <w:rPr>
          <w:rStyle w:val="normaltextrun"/>
          <w:color w:val="000000" w:themeColor="text1"/>
        </w:rPr>
        <w:t xml:space="preserve">second theology </w:t>
      </w:r>
      <w:r w:rsidR="37504AB9" w:rsidRPr="40FDC157">
        <w:rPr>
          <w:rStyle w:val="normaltextrun"/>
          <w:color w:val="000000" w:themeColor="text1"/>
        </w:rPr>
        <w:t xml:space="preserve">course </w:t>
      </w:r>
      <w:r w:rsidRPr="40FDC157">
        <w:rPr>
          <w:rStyle w:val="normaltextrun"/>
          <w:color w:val="000000" w:themeColor="text1"/>
        </w:rPr>
        <w:t>can be on a variety of topics that meet the learning objectives and can include religions other than Christian</w:t>
      </w:r>
      <w:r w:rsidR="75CFD09A" w:rsidRPr="40FDC157">
        <w:rPr>
          <w:rStyle w:val="normaltextrun"/>
          <w:color w:val="000000" w:themeColor="text1"/>
        </w:rPr>
        <w:t>ity</w:t>
      </w:r>
      <w:r w:rsidRPr="40FDC157">
        <w:rPr>
          <w:rStyle w:val="normaltextrun"/>
          <w:color w:val="000000" w:themeColor="text1"/>
        </w:rPr>
        <w:t>.</w:t>
      </w:r>
    </w:p>
    <w:p w14:paraId="25D21E97" w14:textId="4A224D22" w:rsidR="07892D0C" w:rsidRDefault="07892D0C" w:rsidP="07892D0C">
      <w:pPr>
        <w:pStyle w:val="paragraph"/>
        <w:spacing w:before="0" w:beforeAutospacing="0" w:after="0" w:afterAutospacing="0"/>
        <w:ind w:left="360"/>
        <w:rPr>
          <w:rStyle w:val="normaltextrun"/>
          <w:color w:val="000000" w:themeColor="text1"/>
        </w:rPr>
      </w:pPr>
    </w:p>
    <w:p w14:paraId="4DF77125" w14:textId="663877A9" w:rsidR="0898FFC3" w:rsidRDefault="0898FFC3" w:rsidP="07892D0C">
      <w:r w:rsidRPr="07892D0C">
        <w:rPr>
          <w:rFonts w:ascii="Times New Roman" w:eastAsia="Times New Roman" w:hAnsi="Times New Roman" w:cs="Times New Roman"/>
          <w:b/>
          <w:bCs/>
          <w:u w:val="single"/>
        </w:rPr>
        <w:t>Learning Goals</w:t>
      </w:r>
      <w:r w:rsidRPr="07892D0C">
        <w:rPr>
          <w:rFonts w:ascii="Times New Roman" w:eastAsia="Times New Roman" w:hAnsi="Times New Roman" w:cs="Times New Roman"/>
        </w:rPr>
        <w:t xml:space="preserve"> </w:t>
      </w:r>
    </w:p>
    <w:p w14:paraId="4243514C" w14:textId="4C2B7354" w:rsidR="0898FFC3" w:rsidRDefault="0898FFC3">
      <w:r w:rsidRPr="07892D0C">
        <w:rPr>
          <w:rFonts w:ascii="Times New Roman" w:eastAsia="Times New Roman" w:hAnsi="Times New Roman" w:cs="Times New Roman"/>
        </w:rPr>
        <w:t xml:space="preserve"> </w:t>
      </w:r>
    </w:p>
    <w:p w14:paraId="05A8D115" w14:textId="519B5221" w:rsidR="0898FFC3" w:rsidRDefault="0898FFC3" w:rsidP="07892D0C">
      <w:pPr>
        <w:jc w:val="center"/>
        <w:rPr>
          <w:rFonts w:ascii="Times New Roman" w:eastAsia="Times New Roman" w:hAnsi="Times New Roman" w:cs="Times New Roman"/>
        </w:rPr>
      </w:pPr>
      <w:r w:rsidRPr="07892D0C">
        <w:rPr>
          <w:rFonts w:ascii="Times New Roman" w:eastAsia="Times New Roman" w:hAnsi="Times New Roman" w:cs="Times New Roman"/>
        </w:rPr>
        <w:t xml:space="preserve">Religious Engagement </w:t>
      </w:r>
      <w:r w:rsidR="58B710E8" w:rsidRPr="07892D0C">
        <w:rPr>
          <w:rFonts w:ascii="Times New Roman" w:eastAsia="Times New Roman" w:hAnsi="Times New Roman" w:cs="Times New Roman"/>
        </w:rPr>
        <w:t>- Intermediate</w:t>
      </w:r>
      <w:r w:rsidRPr="07892D0C">
        <w:rPr>
          <w:rFonts w:ascii="Times New Roman" w:eastAsia="Times New Roman" w:hAnsi="Times New Roman" w:cs="Times New Roman"/>
        </w:rPr>
        <w:t xml:space="preserve"> </w:t>
      </w:r>
    </w:p>
    <w:p w14:paraId="4659733B" w14:textId="407FA67C" w:rsidR="0898FFC3" w:rsidRDefault="0898FFC3" w:rsidP="07892D0C">
      <w:pPr>
        <w:rPr>
          <w:rFonts w:ascii="Times New Roman" w:eastAsia="Times New Roman" w:hAnsi="Times New Roman" w:cs="Times New Roman"/>
        </w:rPr>
      </w:pPr>
      <w:r w:rsidRPr="07892D0C">
        <w:rPr>
          <w:rFonts w:ascii="Times New Roman" w:eastAsia="Times New Roman" w:hAnsi="Times New Roman" w:cs="Times New Roman"/>
        </w:rPr>
        <w:t xml:space="preserve">Students analyze forms of religious engagement by drawing on sources that may come from a range of academic disciplines. </w:t>
      </w:r>
    </w:p>
    <w:p w14:paraId="5C74B473" w14:textId="0FF74B99" w:rsidR="0898FFC3" w:rsidRDefault="0898FFC3" w:rsidP="07892D0C">
      <w:pPr>
        <w:jc w:val="center"/>
        <w:rPr>
          <w:rFonts w:ascii="Times New Roman" w:eastAsia="Times New Roman" w:hAnsi="Times New Roman" w:cs="Times New Roman"/>
        </w:rPr>
      </w:pPr>
      <w:r w:rsidRPr="07892D0C">
        <w:rPr>
          <w:rFonts w:ascii="Times New Roman" w:eastAsia="Times New Roman" w:hAnsi="Times New Roman" w:cs="Times New Roman"/>
        </w:rPr>
        <w:t xml:space="preserve"> </w:t>
      </w:r>
      <w:r>
        <w:br/>
      </w:r>
      <w:r w:rsidRPr="07892D0C">
        <w:rPr>
          <w:rFonts w:ascii="Times New Roman" w:eastAsia="Times New Roman" w:hAnsi="Times New Roman" w:cs="Times New Roman"/>
        </w:rPr>
        <w:t xml:space="preserve"> Theological Reasoning </w:t>
      </w:r>
      <w:r w:rsidR="76E77172" w:rsidRPr="07892D0C">
        <w:rPr>
          <w:rFonts w:ascii="Times New Roman" w:eastAsia="Times New Roman" w:hAnsi="Times New Roman" w:cs="Times New Roman"/>
        </w:rPr>
        <w:t>-</w:t>
      </w:r>
      <w:r w:rsidRPr="07892D0C">
        <w:rPr>
          <w:rFonts w:ascii="Times New Roman" w:eastAsia="Times New Roman" w:hAnsi="Times New Roman" w:cs="Times New Roman"/>
        </w:rPr>
        <w:t xml:space="preserve"> </w:t>
      </w:r>
      <w:r w:rsidR="76E77172" w:rsidRPr="07892D0C">
        <w:rPr>
          <w:rFonts w:ascii="Times New Roman" w:eastAsia="Times New Roman" w:hAnsi="Times New Roman" w:cs="Times New Roman"/>
        </w:rPr>
        <w:t>Intermediate</w:t>
      </w:r>
    </w:p>
    <w:p w14:paraId="0CDE1896" w14:textId="0E20AB9F" w:rsidR="0898FFC3" w:rsidRDefault="0898FFC3" w:rsidP="07892D0C">
      <w:pPr>
        <w:rPr>
          <w:rFonts w:ascii="Times New Roman" w:eastAsia="Times New Roman" w:hAnsi="Times New Roman" w:cs="Times New Roman"/>
        </w:rPr>
      </w:pPr>
      <w:r w:rsidRPr="07892D0C">
        <w:rPr>
          <w:rFonts w:ascii="Times New Roman" w:eastAsia="Times New Roman" w:hAnsi="Times New Roman" w:cs="Times New Roman"/>
          <w:color w:val="00000A"/>
        </w:rPr>
        <w:t>Students interpret theological sources and their contexts. They compare perspectives on a teaching, theme, or doctrine.</w:t>
      </w:r>
      <w:r w:rsidRPr="07892D0C">
        <w:rPr>
          <w:rFonts w:ascii="Times New Roman" w:eastAsia="Times New Roman" w:hAnsi="Times New Roman" w:cs="Times New Roman"/>
        </w:rPr>
        <w:t xml:space="preserve"> </w:t>
      </w:r>
    </w:p>
    <w:p w14:paraId="1272F477" w14:textId="5CF0EC90" w:rsidR="0898FFC3" w:rsidRDefault="0898FFC3" w:rsidP="07892D0C">
      <w:pPr>
        <w:rPr>
          <w:rFonts w:ascii="Times New Roman" w:eastAsia="Times New Roman" w:hAnsi="Times New Roman" w:cs="Times New Roman"/>
        </w:rPr>
      </w:pPr>
      <w:r w:rsidRPr="07892D0C">
        <w:rPr>
          <w:rFonts w:ascii="Times New Roman" w:eastAsia="Times New Roman" w:hAnsi="Times New Roman" w:cs="Times New Roman"/>
        </w:rPr>
        <w:t xml:space="preserve"> </w:t>
      </w:r>
    </w:p>
    <w:p w14:paraId="4557B18C" w14:textId="664AA43A" w:rsidR="0898FFC3" w:rsidRDefault="0898FFC3" w:rsidP="07892D0C">
      <w:pPr>
        <w:jc w:val="center"/>
        <w:rPr>
          <w:rFonts w:ascii="Times New Roman" w:eastAsia="Times New Roman" w:hAnsi="Times New Roman" w:cs="Times New Roman"/>
        </w:rPr>
      </w:pPr>
      <w:r w:rsidRPr="07892D0C">
        <w:rPr>
          <w:rFonts w:ascii="Times New Roman" w:eastAsia="Times New Roman" w:hAnsi="Times New Roman" w:cs="Times New Roman"/>
        </w:rPr>
        <w:t xml:space="preserve">Write </w:t>
      </w:r>
      <w:r w:rsidR="7FCA7C7D" w:rsidRPr="07892D0C">
        <w:rPr>
          <w:rFonts w:ascii="Times New Roman" w:eastAsia="Times New Roman" w:hAnsi="Times New Roman" w:cs="Times New Roman"/>
        </w:rPr>
        <w:t>- Intermediate</w:t>
      </w:r>
      <w:r w:rsidRPr="07892D0C">
        <w:rPr>
          <w:rFonts w:ascii="Times New Roman" w:eastAsia="Times New Roman" w:hAnsi="Times New Roman" w:cs="Times New Roman"/>
        </w:rPr>
        <w:t xml:space="preserve"> </w:t>
      </w:r>
    </w:p>
    <w:p w14:paraId="04B9E4A9" w14:textId="2C17462F" w:rsidR="0898FFC3" w:rsidRDefault="0898FFC3" w:rsidP="07892D0C">
      <w:pPr>
        <w:pStyle w:val="paragraph"/>
        <w:spacing w:before="0" w:beforeAutospacing="0" w:after="0" w:afterAutospacing="0"/>
        <w:jc w:val="both"/>
      </w:pPr>
      <w:r w:rsidRPr="07892D0C">
        <w:t>Students demonstrate consideration of the context, audience, and purpose of their writing and use compelling content to clearly support ideas. They consistently organize their arguments using relevant evidence. The language is clear and straightforward, with few errors.</w:t>
      </w:r>
    </w:p>
    <w:p w14:paraId="16C69778" w14:textId="4BA28E98" w:rsidR="004A2FDB" w:rsidRDefault="004A2FDB" w:rsidP="07892D0C">
      <w:pPr>
        <w:pStyle w:val="paragraph"/>
        <w:spacing w:before="0" w:beforeAutospacing="0" w:after="0" w:afterAutospacing="0"/>
        <w:jc w:val="both"/>
        <w:rPr>
          <w:b/>
          <w:bCs/>
          <w:u w:val="single"/>
        </w:rPr>
      </w:pPr>
    </w:p>
    <w:p w14:paraId="1A9172C7" w14:textId="77777777" w:rsidR="00F7605D" w:rsidRDefault="00F7605D" w:rsidP="00F7605D">
      <w:pPr>
        <w:spacing w:line="259" w:lineRule="auto"/>
        <w:rPr>
          <w:rFonts w:ascii="Times New Roman" w:eastAsia="Times New Roman" w:hAnsi="Times New Roman" w:cs="Times New Roman"/>
        </w:rPr>
      </w:pPr>
      <w:r w:rsidRPr="1E0AC87D">
        <w:rPr>
          <w:rFonts w:ascii="Times New Roman" w:eastAsia="Times New Roman" w:hAnsi="Times New Roman" w:cs="Times New Roman"/>
        </w:rPr>
        <w:t xml:space="preserve">Click </w:t>
      </w:r>
      <w:hyperlink r:id="rId12" w:history="1">
        <w:r w:rsidRPr="00EE1DF7">
          <w:rPr>
            <w:rStyle w:val="Hyperlink"/>
            <w:rFonts w:ascii="Times New Roman" w:eastAsia="Times New Roman" w:hAnsi="Times New Roman" w:cs="Times New Roman"/>
          </w:rPr>
          <w:t>here</w:t>
        </w:r>
      </w:hyperlink>
      <w:r w:rsidRPr="1E0AC87D">
        <w:rPr>
          <w:rFonts w:ascii="Times New Roman" w:eastAsia="Times New Roman" w:hAnsi="Times New Roman" w:cs="Times New Roman"/>
        </w:rPr>
        <w:t xml:space="preserve"> for a full list of scaffolded learning outcomes.</w:t>
      </w:r>
    </w:p>
    <w:p w14:paraId="364545BF" w14:textId="77777777" w:rsidR="00F7605D" w:rsidRDefault="00F7605D" w:rsidP="07892D0C">
      <w:pPr>
        <w:pStyle w:val="paragraph"/>
        <w:spacing w:before="0" w:beforeAutospacing="0" w:after="0" w:afterAutospacing="0"/>
        <w:jc w:val="both"/>
        <w:rPr>
          <w:b/>
          <w:bCs/>
          <w:u w:val="single"/>
        </w:rPr>
      </w:pPr>
    </w:p>
    <w:p w14:paraId="2E066A26" w14:textId="77777777" w:rsidR="004A2FDB" w:rsidRDefault="004A2FDB" w:rsidP="07892D0C">
      <w:pPr>
        <w:pStyle w:val="paragraph"/>
        <w:spacing w:before="0" w:beforeAutospacing="0" w:after="0" w:afterAutospacing="0"/>
        <w:jc w:val="both"/>
        <w:rPr>
          <w:b/>
          <w:bCs/>
          <w:u w:val="single"/>
        </w:rPr>
      </w:pPr>
    </w:p>
    <w:p w14:paraId="46560CB4" w14:textId="664A2F7B" w:rsidR="6470B2CF" w:rsidRPr="00C03F41" w:rsidRDefault="6470B2CF" w:rsidP="07892D0C">
      <w:pPr>
        <w:pStyle w:val="paragraph"/>
        <w:spacing w:before="0" w:beforeAutospacing="0" w:after="0" w:afterAutospacing="0"/>
        <w:jc w:val="both"/>
      </w:pPr>
      <w:r w:rsidRPr="07892D0C">
        <w:rPr>
          <w:b/>
          <w:bCs/>
          <w:u w:val="single"/>
        </w:rPr>
        <w:t>Curriculum Guidelines</w:t>
      </w:r>
      <w:r w:rsidR="00C03F41">
        <w:t xml:space="preserve"> (here “Theological Integrations courses” should be understood as “courses carrying a Theological Integrations designation”)</w:t>
      </w:r>
    </w:p>
    <w:p w14:paraId="06C229C2" w14:textId="25240709" w:rsidR="3FF42652" w:rsidRDefault="3FF42652" w:rsidP="07892D0C">
      <w:pPr>
        <w:pStyle w:val="paragraph"/>
        <w:numPr>
          <w:ilvl w:val="0"/>
          <w:numId w:val="2"/>
        </w:numPr>
        <w:spacing w:before="0" w:beforeAutospacing="0" w:after="0" w:afterAutospacing="0"/>
        <w:rPr>
          <w:rStyle w:val="eop"/>
          <w:color w:val="000000" w:themeColor="text1"/>
        </w:rPr>
      </w:pPr>
      <w:r w:rsidRPr="07892D0C">
        <w:rPr>
          <w:rStyle w:val="eop"/>
        </w:rPr>
        <w:t>Theological Explorations is a prerequisite</w:t>
      </w:r>
    </w:p>
    <w:p w14:paraId="6B5DD3C3" w14:textId="13203E7E" w:rsidR="3FF42652" w:rsidRDefault="3FF42652" w:rsidP="4BD67643">
      <w:pPr>
        <w:pStyle w:val="paragraph"/>
        <w:numPr>
          <w:ilvl w:val="0"/>
          <w:numId w:val="2"/>
        </w:numPr>
        <w:spacing w:before="0" w:beforeAutospacing="0" w:after="0" w:afterAutospacing="0"/>
        <w:rPr>
          <w:rStyle w:val="normaltextrun"/>
          <w:rFonts w:asciiTheme="minorHAnsi" w:eastAsiaTheme="minorEastAsia" w:hAnsiTheme="minorHAnsi" w:cstheme="minorBidi"/>
          <w:color w:val="000000" w:themeColor="text1"/>
        </w:rPr>
      </w:pPr>
      <w:commentRangeStart w:id="3"/>
      <w:commentRangeStart w:id="4"/>
      <w:r w:rsidRPr="359961E3">
        <w:rPr>
          <w:rStyle w:val="eop"/>
        </w:rPr>
        <w:t>Theological Integrations</w:t>
      </w:r>
      <w:r w:rsidRPr="359961E3">
        <w:rPr>
          <w:rStyle w:val="normaltextrun"/>
          <w:color w:val="000000" w:themeColor="text1"/>
        </w:rPr>
        <w:t xml:space="preserve"> </w:t>
      </w:r>
      <w:commentRangeEnd w:id="3"/>
      <w:r>
        <w:commentReference w:id="3"/>
      </w:r>
      <w:commentRangeEnd w:id="4"/>
      <w:r>
        <w:commentReference w:id="4"/>
      </w:r>
      <w:r w:rsidR="7739D0A2" w:rsidRPr="359961E3">
        <w:rPr>
          <w:rStyle w:val="normaltextrun"/>
          <w:color w:val="000000" w:themeColor="text1"/>
        </w:rPr>
        <w:t>courses must be</w:t>
      </w:r>
      <w:r w:rsidRPr="359961E3">
        <w:rPr>
          <w:rStyle w:val="normaltextrun"/>
          <w:color w:val="000000" w:themeColor="text1"/>
        </w:rPr>
        <w:t xml:space="preserve"> a 300-level course</w:t>
      </w:r>
      <w:bookmarkStart w:id="5" w:name="_GoBack"/>
      <w:bookmarkEnd w:id="5"/>
    </w:p>
    <w:p w14:paraId="57211D91" w14:textId="2CE3EFE2" w:rsidR="300AB344" w:rsidRDefault="300AB344" w:rsidP="07892D0C">
      <w:pPr>
        <w:pStyle w:val="paragraph"/>
        <w:numPr>
          <w:ilvl w:val="0"/>
          <w:numId w:val="2"/>
        </w:numPr>
        <w:spacing w:before="0" w:beforeAutospacing="0" w:after="0" w:afterAutospacing="0"/>
        <w:rPr>
          <w:rStyle w:val="normaltextrun"/>
          <w:rFonts w:asciiTheme="minorHAnsi" w:eastAsiaTheme="minorEastAsia" w:hAnsiTheme="minorHAnsi" w:cstheme="minorBidi"/>
          <w:color w:val="000000" w:themeColor="text1"/>
        </w:rPr>
      </w:pPr>
      <w:r w:rsidRPr="07892D0C">
        <w:rPr>
          <w:rStyle w:val="eop"/>
        </w:rPr>
        <w:t>Theological Integrations courses can be taught in any department</w:t>
      </w:r>
    </w:p>
    <w:p w14:paraId="4F5B5896" w14:textId="6210F130" w:rsidR="3FF42652" w:rsidRDefault="3FF42652" w:rsidP="07892D0C">
      <w:pPr>
        <w:pStyle w:val="paragraph"/>
        <w:numPr>
          <w:ilvl w:val="0"/>
          <w:numId w:val="2"/>
        </w:numPr>
        <w:spacing w:before="0" w:beforeAutospacing="0" w:after="0" w:afterAutospacing="0"/>
        <w:rPr>
          <w:rStyle w:val="normaltextrun"/>
          <w:rFonts w:asciiTheme="minorHAnsi" w:eastAsiaTheme="minorEastAsia" w:hAnsiTheme="minorHAnsi" w:cstheme="minorBidi"/>
          <w:color w:val="000000" w:themeColor="text1"/>
        </w:rPr>
      </w:pPr>
      <w:r w:rsidRPr="07892D0C">
        <w:t>Theological Integrations courses cannot be designated as</w:t>
      </w:r>
    </w:p>
    <w:p w14:paraId="3CBBE3B6" w14:textId="35862152" w:rsidR="3FF42652" w:rsidRDefault="3FF42652" w:rsidP="07892D0C">
      <w:pPr>
        <w:pStyle w:val="ListParagraph"/>
        <w:numPr>
          <w:ilvl w:val="1"/>
          <w:numId w:val="2"/>
        </w:numPr>
      </w:pPr>
      <w:r w:rsidRPr="07892D0C">
        <w:rPr>
          <w:rFonts w:ascii="Times New Roman" w:eastAsia="Times New Roman" w:hAnsi="Times New Roman" w:cs="Times New Roman"/>
        </w:rPr>
        <w:t>A Cultural and Social Difference: Identity (CSD 1) or A Cultural and Social Difference: Systems (CSD 2) OR</w:t>
      </w:r>
    </w:p>
    <w:p w14:paraId="468DF2E2" w14:textId="08128472" w:rsidR="3FF42652" w:rsidRDefault="3FF42652" w:rsidP="07892D0C">
      <w:pPr>
        <w:pStyle w:val="ListParagraph"/>
        <w:numPr>
          <w:ilvl w:val="1"/>
          <w:numId w:val="2"/>
        </w:numPr>
      </w:pPr>
      <w:r w:rsidRPr="07892D0C">
        <w:rPr>
          <w:rFonts w:ascii="Times New Roman" w:eastAsia="Times New Roman" w:hAnsi="Times New Roman" w:cs="Times New Roman"/>
        </w:rPr>
        <w:t>A Way of Thinking, OR</w:t>
      </w:r>
    </w:p>
    <w:p w14:paraId="4D7593CD" w14:textId="529A3EBE" w:rsidR="71A8D2D1" w:rsidRDefault="71A8D2D1" w:rsidP="07892D0C">
      <w:pPr>
        <w:pStyle w:val="ListParagraph"/>
        <w:numPr>
          <w:ilvl w:val="1"/>
          <w:numId w:val="2"/>
        </w:numPr>
      </w:pPr>
      <w:r w:rsidRPr="07892D0C">
        <w:rPr>
          <w:rFonts w:ascii="Times New Roman" w:eastAsia="Times New Roman" w:hAnsi="Times New Roman" w:cs="Times New Roman"/>
        </w:rPr>
        <w:t>Learning</w:t>
      </w:r>
      <w:r w:rsidR="3FF42652" w:rsidRPr="07892D0C">
        <w:rPr>
          <w:rFonts w:ascii="Times New Roman" w:eastAsia="Times New Roman" w:hAnsi="Times New Roman" w:cs="Times New Roman"/>
        </w:rPr>
        <w:t xml:space="preserve"> Foundations, </w:t>
      </w:r>
      <w:r w:rsidR="0B5E9011" w:rsidRPr="07892D0C">
        <w:rPr>
          <w:rFonts w:ascii="Times New Roman" w:eastAsia="Times New Roman" w:hAnsi="Times New Roman" w:cs="Times New Roman"/>
        </w:rPr>
        <w:t>Learning</w:t>
      </w:r>
      <w:r w:rsidR="0D3C32DA" w:rsidRPr="07892D0C">
        <w:rPr>
          <w:rFonts w:ascii="Times New Roman" w:eastAsia="Times New Roman" w:hAnsi="Times New Roman" w:cs="Times New Roman"/>
        </w:rPr>
        <w:t xml:space="preserve"> </w:t>
      </w:r>
      <w:r w:rsidR="3FF42652" w:rsidRPr="07892D0C">
        <w:rPr>
          <w:rFonts w:ascii="Times New Roman" w:eastAsia="Times New Roman" w:hAnsi="Times New Roman" w:cs="Times New Roman"/>
        </w:rPr>
        <w:t xml:space="preserve">Explorations, or </w:t>
      </w:r>
      <w:r w:rsidR="72329D20" w:rsidRPr="07892D0C">
        <w:rPr>
          <w:rFonts w:ascii="Times New Roman" w:eastAsia="Times New Roman" w:hAnsi="Times New Roman" w:cs="Times New Roman"/>
        </w:rPr>
        <w:t xml:space="preserve">Learning </w:t>
      </w:r>
      <w:r w:rsidR="3FF42652" w:rsidRPr="07892D0C">
        <w:rPr>
          <w:rFonts w:ascii="Times New Roman" w:eastAsia="Times New Roman" w:hAnsi="Times New Roman" w:cs="Times New Roman"/>
        </w:rPr>
        <w:t>Integrations.</w:t>
      </w:r>
    </w:p>
    <w:p w14:paraId="43E1B4E5" w14:textId="6DC4A2CA" w:rsidR="5DF3246C" w:rsidRDefault="5DF3246C" w:rsidP="07892D0C">
      <w:pPr>
        <w:pStyle w:val="ListParagraph"/>
        <w:numPr>
          <w:ilvl w:val="0"/>
          <w:numId w:val="2"/>
        </w:numPr>
      </w:pPr>
      <w:r w:rsidRPr="07892D0C">
        <w:rPr>
          <w:rFonts w:ascii="Times New Roman" w:eastAsia="Times New Roman" w:hAnsi="Times New Roman" w:cs="Times New Roman"/>
        </w:rPr>
        <w:t>Theological Integrations courses can also carry an Engagement designation</w:t>
      </w:r>
      <w:r w:rsidR="799439ED" w:rsidRPr="07892D0C">
        <w:rPr>
          <w:rFonts w:ascii="Times New Roman" w:eastAsia="Times New Roman" w:hAnsi="Times New Roman" w:cs="Times New Roman"/>
        </w:rPr>
        <w:t>,</w:t>
      </w:r>
      <w:r w:rsidRPr="07892D0C">
        <w:rPr>
          <w:rFonts w:ascii="Times New Roman" w:eastAsia="Times New Roman" w:hAnsi="Times New Roman" w:cs="Times New Roman"/>
        </w:rPr>
        <w:t xml:space="preserve"> except for the Benedictine Raven engagement.</w:t>
      </w:r>
    </w:p>
    <w:p w14:paraId="42B0BA46" w14:textId="470C645D" w:rsidR="07892D0C" w:rsidRDefault="07892D0C" w:rsidP="00C03F41">
      <w:pPr>
        <w:pStyle w:val="paragraph"/>
        <w:spacing w:before="0" w:beforeAutospacing="0" w:after="0" w:afterAutospacing="0"/>
        <w:rPr>
          <w:rStyle w:val="normaltextrun"/>
          <w:color w:val="000000" w:themeColor="text1"/>
        </w:rPr>
      </w:pPr>
    </w:p>
    <w:p w14:paraId="41732617" w14:textId="77777777" w:rsidR="00C03F41" w:rsidRDefault="00C03F41" w:rsidP="00C03F41">
      <w:pPr>
        <w:pStyle w:val="paragraph"/>
        <w:spacing w:before="0" w:beforeAutospacing="0" w:after="0" w:afterAutospacing="0"/>
        <w:rPr>
          <w:rStyle w:val="normaltextrun"/>
          <w:color w:val="000000" w:themeColor="text1"/>
        </w:rPr>
      </w:pPr>
    </w:p>
    <w:p w14:paraId="752D2E88" w14:textId="30273E67" w:rsidR="002E2C55" w:rsidRPr="002E2C55" w:rsidRDefault="6D5DBAAD" w:rsidP="07892D0C">
      <w:pPr>
        <w:pStyle w:val="paragraph"/>
        <w:spacing w:before="0" w:beforeAutospacing="0" w:after="0" w:afterAutospacing="0"/>
        <w:textAlignment w:val="baseline"/>
        <w:rPr>
          <w:rStyle w:val="eop"/>
          <w:b/>
          <w:bCs/>
          <w:u w:val="single"/>
        </w:rPr>
      </w:pPr>
      <w:r w:rsidRPr="07892D0C">
        <w:rPr>
          <w:rStyle w:val="eop"/>
          <w:b/>
          <w:bCs/>
          <w:u w:val="single"/>
        </w:rPr>
        <w:t>Teaching Guidelines</w:t>
      </w:r>
    </w:p>
    <w:p w14:paraId="1719B902" w14:textId="570A1E78" w:rsidR="002E2C55" w:rsidRPr="00C142AD" w:rsidRDefault="4B2D8075" w:rsidP="07892D0C">
      <w:pPr>
        <w:pStyle w:val="paragraph"/>
        <w:numPr>
          <w:ilvl w:val="0"/>
          <w:numId w:val="3"/>
        </w:numPr>
        <w:spacing w:before="0" w:beforeAutospacing="0" w:after="0" w:afterAutospacing="0"/>
        <w:textAlignment w:val="baseline"/>
        <w:rPr>
          <w:rFonts w:asciiTheme="minorHAnsi" w:eastAsiaTheme="minorEastAsia" w:hAnsiTheme="minorHAnsi" w:cstheme="minorBidi"/>
        </w:rPr>
      </w:pPr>
      <w:r w:rsidRPr="07892D0C">
        <w:rPr>
          <w:rStyle w:val="normaltextrun"/>
        </w:rPr>
        <w:t>This course</w:t>
      </w:r>
      <w:r w:rsidR="002E2C55" w:rsidRPr="07892D0C">
        <w:rPr>
          <w:rStyle w:val="normaltextrun"/>
        </w:rPr>
        <w:t xml:space="preserve"> moves students from the identification of theological sources to an interpretation of theological sources.</w:t>
      </w:r>
      <w:r w:rsidR="002E2C55" w:rsidRPr="07892D0C">
        <w:rPr>
          <w:rStyle w:val="apple-converted-space"/>
        </w:rPr>
        <w:t> </w:t>
      </w:r>
      <w:r w:rsidR="002E2C55" w:rsidRPr="07892D0C">
        <w:rPr>
          <w:rStyle w:val="scxw55008030"/>
        </w:rPr>
        <w:t> </w:t>
      </w:r>
      <w:r w:rsidR="002E2C55">
        <w:br/>
      </w:r>
      <w:r w:rsidR="002E2C55" w:rsidRPr="07892D0C">
        <w:rPr>
          <w:rStyle w:val="eop"/>
          <w:rFonts w:ascii="Calibri" w:hAnsi="Calibri" w:cs="Calibri"/>
        </w:rPr>
        <w:t> </w:t>
      </w:r>
    </w:p>
    <w:p w14:paraId="50DB31D4" w14:textId="3D75FB6C" w:rsidR="002E2C55" w:rsidRPr="002E2C55" w:rsidRDefault="002E2C55" w:rsidP="07892D0C">
      <w:pPr>
        <w:pStyle w:val="paragraph"/>
        <w:numPr>
          <w:ilvl w:val="1"/>
          <w:numId w:val="3"/>
        </w:numPr>
        <w:spacing w:before="0" w:beforeAutospacing="0" w:after="0" w:afterAutospacing="0"/>
        <w:textAlignment w:val="baseline"/>
        <w:rPr>
          <w:rFonts w:asciiTheme="minorHAnsi" w:eastAsiaTheme="minorEastAsia" w:hAnsiTheme="minorHAnsi" w:cstheme="minorBidi"/>
          <w:color w:val="000000" w:themeColor="text1"/>
        </w:rPr>
      </w:pPr>
      <w:r w:rsidRPr="07892D0C">
        <w:rPr>
          <w:rStyle w:val="normaltextrun"/>
          <w:color w:val="000000" w:themeColor="text1"/>
        </w:rPr>
        <w:t>As stated in the beginner Theological Reasoning learning objective, theological sources, which</w:t>
      </w:r>
      <w:r w:rsidRPr="07892D0C">
        <w:rPr>
          <w:rStyle w:val="apple-converted-space"/>
          <w:color w:val="000000" w:themeColor="text1"/>
        </w:rPr>
        <w:t> </w:t>
      </w:r>
      <w:r w:rsidRPr="07892D0C">
        <w:rPr>
          <w:rStyle w:val="normaltextrun"/>
          <w:color w:val="000007"/>
        </w:rPr>
        <w:t>may include scripture, practices, texts, or art forms, explain a theological teaching, doctrine, or theme.</w:t>
      </w:r>
      <w:r w:rsidRPr="07892D0C">
        <w:rPr>
          <w:rStyle w:val="apple-converted-space"/>
          <w:color w:val="000007"/>
        </w:rPr>
        <w:t> </w:t>
      </w:r>
      <w:r w:rsidRPr="07892D0C">
        <w:rPr>
          <w:rStyle w:val="normaltextrun"/>
          <w:color w:val="000000" w:themeColor="text1"/>
        </w:rPr>
        <w:t xml:space="preserve">Thus, these sources emerge from and </w:t>
      </w:r>
      <w:r w:rsidR="7141D21D" w:rsidRPr="07892D0C">
        <w:rPr>
          <w:rStyle w:val="normaltextrun"/>
          <w:color w:val="000000" w:themeColor="text1"/>
        </w:rPr>
        <w:t>operate</w:t>
      </w:r>
      <w:r w:rsidRPr="07892D0C">
        <w:rPr>
          <w:rStyle w:val="normaltextrun"/>
          <w:color w:val="000000" w:themeColor="text1"/>
        </w:rPr>
        <w:t xml:space="preserve"> within a</w:t>
      </w:r>
      <w:r w:rsidRPr="07892D0C">
        <w:rPr>
          <w:rStyle w:val="apple-converted-space"/>
          <w:color w:val="000000" w:themeColor="text1"/>
        </w:rPr>
        <w:t> </w:t>
      </w:r>
      <w:proofErr w:type="gramStart"/>
      <w:r w:rsidRPr="07892D0C">
        <w:rPr>
          <w:rStyle w:val="advancedproofingissue"/>
          <w:color w:val="000000" w:themeColor="text1"/>
        </w:rPr>
        <w:t>particular religious</w:t>
      </w:r>
      <w:proofErr w:type="gramEnd"/>
      <w:r w:rsidRPr="07892D0C">
        <w:rPr>
          <w:rStyle w:val="apple-converted-space"/>
          <w:color w:val="000000" w:themeColor="text1"/>
        </w:rPr>
        <w:t> </w:t>
      </w:r>
      <w:r w:rsidRPr="07892D0C">
        <w:rPr>
          <w:rStyle w:val="normaltextrun"/>
          <w:color w:val="000000" w:themeColor="text1"/>
        </w:rPr>
        <w:t>community and aid that community in understanding its normative truth claims and values. Although etymologically theology would seem to concern strictly theistic religions, as a reasoned discipline making sense of truth and value, theology can (and does) include non-theistic religions as well.</w:t>
      </w:r>
      <w:r w:rsidRPr="07892D0C">
        <w:rPr>
          <w:rStyle w:val="eop"/>
        </w:rPr>
        <w:t> </w:t>
      </w:r>
    </w:p>
    <w:p w14:paraId="04138363" w14:textId="77777777" w:rsidR="002E2C55" w:rsidRPr="002E2C55" w:rsidRDefault="002E2C55" w:rsidP="002E2C55">
      <w:pPr>
        <w:pStyle w:val="paragraph"/>
        <w:spacing w:before="0" w:beforeAutospacing="0" w:after="0" w:afterAutospacing="0"/>
        <w:ind w:left="360"/>
        <w:textAlignment w:val="baseline"/>
        <w:rPr>
          <w:rFonts w:ascii="Segoe UI" w:hAnsi="Segoe UI" w:cs="Segoe UI"/>
          <w:sz w:val="18"/>
          <w:szCs w:val="18"/>
        </w:rPr>
      </w:pPr>
      <w:r w:rsidRPr="002E2C55">
        <w:rPr>
          <w:rStyle w:val="eop"/>
        </w:rPr>
        <w:t> </w:t>
      </w:r>
    </w:p>
    <w:p w14:paraId="141B31AA" w14:textId="648A4E67" w:rsidR="00E42E6D" w:rsidRPr="00E42E6D" w:rsidRDefault="002E2C55" w:rsidP="07892D0C">
      <w:pPr>
        <w:pStyle w:val="paragraph"/>
        <w:numPr>
          <w:ilvl w:val="0"/>
          <w:numId w:val="3"/>
        </w:numPr>
        <w:spacing w:before="0" w:beforeAutospacing="0" w:after="0" w:afterAutospacing="0"/>
        <w:textAlignment w:val="baseline"/>
        <w:rPr>
          <w:rStyle w:val="scxw55008030"/>
          <w:rFonts w:asciiTheme="minorHAnsi" w:eastAsiaTheme="minorEastAsia" w:hAnsiTheme="minorHAnsi" w:cstheme="minorBidi"/>
        </w:rPr>
      </w:pPr>
      <w:r w:rsidRPr="07892D0C">
        <w:rPr>
          <w:rStyle w:val="normaltextrun"/>
        </w:rPr>
        <w:t>This course moves students from an identification of one or more forms of religious engagement with society to an analysis of forms of religious engagement by drawing on sources that can come from a range of academic disciplines.</w:t>
      </w:r>
      <w:r w:rsidRPr="07892D0C">
        <w:rPr>
          <w:rStyle w:val="scxw55008030"/>
        </w:rPr>
        <w:t> </w:t>
      </w:r>
    </w:p>
    <w:p w14:paraId="148B5B25" w14:textId="413453B0" w:rsidR="006636B5" w:rsidRPr="006636B5" w:rsidRDefault="00E42E6D" w:rsidP="006636B5">
      <w:pPr>
        <w:pStyle w:val="paragraph"/>
        <w:numPr>
          <w:ilvl w:val="2"/>
          <w:numId w:val="8"/>
        </w:numPr>
        <w:spacing w:before="0" w:beforeAutospacing="0" w:after="0" w:afterAutospacing="0"/>
        <w:textAlignment w:val="baseline"/>
        <w:rPr>
          <w:rStyle w:val="normaltextrun"/>
          <w:rFonts w:ascii="Calibri" w:hAnsi="Calibri" w:cs="Calibri"/>
        </w:rPr>
      </w:pPr>
      <w:r w:rsidRPr="07892D0C">
        <w:rPr>
          <w:rStyle w:val="normaltextrun"/>
        </w:rPr>
        <w:t>Religious engagement implies how religious persons engage society religiously or how religious beliefs and practices inform persons’ social actions. Thus, it is not simply a matter of religious engagement within a</w:t>
      </w:r>
      <w:r w:rsidRPr="07892D0C">
        <w:rPr>
          <w:rStyle w:val="apple-converted-space"/>
        </w:rPr>
        <w:t> </w:t>
      </w:r>
      <w:proofErr w:type="gramStart"/>
      <w:r w:rsidRPr="07892D0C">
        <w:rPr>
          <w:rStyle w:val="advancedproofingissue"/>
        </w:rPr>
        <w:t>particular faith</w:t>
      </w:r>
      <w:proofErr w:type="gramEnd"/>
      <w:r w:rsidRPr="07892D0C">
        <w:rPr>
          <w:rStyle w:val="apple-converted-space"/>
        </w:rPr>
        <w:t> </w:t>
      </w:r>
      <w:r w:rsidRPr="07892D0C">
        <w:rPr>
          <w:rStyle w:val="normaltextrun"/>
        </w:rPr>
        <w:t>community, but the implications of that engagement for society [which may include persons also beyond that community].</w:t>
      </w:r>
      <w:r w:rsidRPr="07892D0C">
        <w:rPr>
          <w:rStyle w:val="apple-converted-space"/>
          <w:color w:val="000000" w:themeColor="text1"/>
        </w:rPr>
        <w:t> </w:t>
      </w:r>
      <w:r w:rsidRPr="07892D0C">
        <w:rPr>
          <w:rStyle w:val="normaltextrun"/>
          <w:color w:val="000000" w:themeColor="text1"/>
        </w:rPr>
        <w:t>As stated in the learning goal, examples of religious engagement can be drawn</w:t>
      </w:r>
      <w:r w:rsidRPr="07892D0C">
        <w:rPr>
          <w:rStyle w:val="apple-converted-space"/>
          <w:color w:val="000000" w:themeColor="text1"/>
        </w:rPr>
        <w:t> </w:t>
      </w:r>
      <w:r w:rsidRPr="07892D0C">
        <w:rPr>
          <w:rStyle w:val="normaltextrun"/>
          <w:color w:val="000000" w:themeColor="text1"/>
        </w:rPr>
        <w:t>from</w:t>
      </w:r>
      <w:r w:rsidRPr="07892D0C">
        <w:rPr>
          <w:rStyle w:val="apple-converted-space"/>
          <w:color w:val="000000" w:themeColor="text1"/>
        </w:rPr>
        <w:t> </w:t>
      </w:r>
      <w:r w:rsidRPr="07892D0C">
        <w:rPr>
          <w:rStyle w:val="normaltextrun"/>
          <w:color w:val="000000" w:themeColor="text1"/>
        </w:rPr>
        <w:t>sources that come from a range of academic disciplines.</w:t>
      </w:r>
    </w:p>
    <w:p w14:paraId="0F7B5817" w14:textId="77777777" w:rsidR="006636B5" w:rsidRPr="006636B5" w:rsidRDefault="006636B5" w:rsidP="006636B5">
      <w:pPr>
        <w:pStyle w:val="paragraph"/>
        <w:spacing w:before="0" w:beforeAutospacing="0" w:after="0" w:afterAutospacing="0"/>
        <w:ind w:left="1350"/>
        <w:textAlignment w:val="baseline"/>
        <w:rPr>
          <w:rStyle w:val="normaltextrun"/>
          <w:rFonts w:ascii="Calibri" w:hAnsi="Calibri" w:cs="Calibri"/>
        </w:rPr>
      </w:pPr>
    </w:p>
    <w:p w14:paraId="326AC6EA" w14:textId="77777777" w:rsidR="006636B5" w:rsidRPr="006636B5" w:rsidRDefault="00603FFD" w:rsidP="006636B5">
      <w:pPr>
        <w:pStyle w:val="paragraph"/>
        <w:numPr>
          <w:ilvl w:val="0"/>
          <w:numId w:val="10"/>
        </w:numPr>
        <w:spacing w:before="0" w:beforeAutospacing="0" w:after="0" w:afterAutospacing="0"/>
        <w:textAlignment w:val="baseline"/>
        <w:rPr>
          <w:rFonts w:ascii="Calibri" w:hAnsi="Calibri" w:cs="Calibri"/>
        </w:rPr>
      </w:pPr>
      <w:r w:rsidRPr="006636B5">
        <w:t xml:space="preserve">For the </w:t>
      </w:r>
      <w:r w:rsidR="020FA5EF" w:rsidRPr="006636B5">
        <w:t xml:space="preserve">intermediate </w:t>
      </w:r>
      <w:r w:rsidRPr="006636B5">
        <w:t>Write learning goal, students are expected to write at least two formal essays that contain appropriate evidence in support of the student’s argument.  In order to develop organizational skills, these essays should be at least four pages in length</w:t>
      </w:r>
      <w:r w:rsidR="006636B5">
        <w:t>.</w:t>
      </w:r>
    </w:p>
    <w:p w14:paraId="4ED7E21E" w14:textId="77777777" w:rsidR="006636B5" w:rsidRPr="006636B5" w:rsidRDefault="00603FFD" w:rsidP="006636B5">
      <w:pPr>
        <w:pStyle w:val="paragraph"/>
        <w:numPr>
          <w:ilvl w:val="1"/>
          <w:numId w:val="10"/>
        </w:numPr>
        <w:spacing w:before="0" w:beforeAutospacing="0" w:after="0" w:afterAutospacing="0"/>
        <w:textAlignment w:val="baseline"/>
        <w:rPr>
          <w:rFonts w:ascii="Calibri" w:hAnsi="Calibri" w:cs="Calibri"/>
        </w:rPr>
      </w:pPr>
      <w:r w:rsidRPr="006636B5">
        <w:t>“</w:t>
      </w:r>
      <w:r w:rsidR="39136745" w:rsidRPr="006636B5">
        <w:t>Compelling</w:t>
      </w:r>
      <w:r w:rsidRPr="006636B5">
        <w:t xml:space="preserve"> evidence” can be drawn from class readings, or from additional research depending on the faculty member’s instructions.</w:t>
      </w:r>
    </w:p>
    <w:p w14:paraId="3104204B" w14:textId="77777777" w:rsidR="006636B5" w:rsidRPr="006636B5" w:rsidRDefault="00603FFD" w:rsidP="006636B5">
      <w:pPr>
        <w:pStyle w:val="paragraph"/>
        <w:numPr>
          <w:ilvl w:val="1"/>
          <w:numId w:val="10"/>
        </w:numPr>
        <w:spacing w:before="0" w:beforeAutospacing="0" w:after="0" w:afterAutospacing="0"/>
        <w:textAlignment w:val="baseline"/>
        <w:rPr>
          <w:rFonts w:ascii="Calibri" w:hAnsi="Calibri" w:cs="Calibri"/>
        </w:rPr>
      </w:pPr>
      <w:r w:rsidRPr="006636B5">
        <w:t xml:space="preserve">Faculty may devote class time to teaching writing or provide individual instruction.  Each of the required essays receives peer and faculty feedback, and revision must be part of the process.  The faculty feedback on these essays can come through significant written comments or an individual conference.  Students are strongly encouraged to make use of the Writing Center. </w:t>
      </w:r>
    </w:p>
    <w:p w14:paraId="74A1709B" w14:textId="7CED2728" w:rsidR="00EF1542" w:rsidRPr="006636B5" w:rsidRDefault="00E42E6D" w:rsidP="006636B5">
      <w:pPr>
        <w:pStyle w:val="paragraph"/>
        <w:numPr>
          <w:ilvl w:val="1"/>
          <w:numId w:val="10"/>
        </w:numPr>
        <w:spacing w:before="0" w:beforeAutospacing="0" w:after="0" w:afterAutospacing="0"/>
        <w:textAlignment w:val="baseline"/>
        <w:rPr>
          <w:rFonts w:ascii="Calibri" w:hAnsi="Calibri" w:cs="Calibri"/>
        </w:rPr>
      </w:pPr>
      <w:r w:rsidRPr="006636B5">
        <w:t xml:space="preserve">The </w:t>
      </w:r>
      <w:r w:rsidR="4AAC162E" w:rsidRPr="006636B5">
        <w:t xml:space="preserve">intermediate </w:t>
      </w:r>
      <w:r w:rsidRPr="006636B5">
        <w:t xml:space="preserve">Write learning </w:t>
      </w:r>
      <w:r w:rsidR="471D3F7B" w:rsidRPr="006636B5">
        <w:t>goal</w:t>
      </w:r>
      <w:r w:rsidRPr="006636B5">
        <w:t xml:space="preserve"> will be assessed through an essay placed in the student’s Integrated Portfolio.</w:t>
      </w:r>
    </w:p>
    <w:sectPr w:rsidR="00EF1542" w:rsidRPr="006636B5" w:rsidSect="00AB7874">
      <w:pgSz w:w="12240" w:h="15840"/>
      <w:pgMar w:top="1440" w:right="1440" w:bottom="1440" w:left="1440" w:header="720" w:footer="720" w:gutter="0"/>
      <w:cols w:space="720"/>
      <w:docGrid w:linePitch="40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arston, Rachel" w:date="2020-06-08T09:31:00Z" w:initials="MR">
    <w:p w14:paraId="3361A53C" w14:textId="3FD316AC" w:rsidR="004A2FDB" w:rsidRDefault="004A2FDB">
      <w:r>
        <w:t>From a grammatical prospective, I find this parenthetical confusing.</w:t>
      </w:r>
      <w:r>
        <w:annotationRef/>
      </w:r>
    </w:p>
  </w:comment>
  <w:comment w:id="1" w:author="Chetty, Sunil" w:date="2020-06-13T16:24:00Z" w:initials="CS">
    <w:p w14:paraId="34471F4F" w14:textId="3C179FCA" w:rsidR="004A2FDB" w:rsidRDefault="004A2FDB">
      <w:r>
        <w:t>I might prefer removing the parentheses, and begin the sentence with "This is in contrast with the discipline of religious studies..."</w:t>
      </w:r>
      <w:r>
        <w:annotationRef/>
      </w:r>
    </w:p>
  </w:comment>
  <w:comment w:id="2" w:author="Taylor, Laura" w:date="2020-06-13T16:57:00Z" w:initials="TL">
    <w:p w14:paraId="214C7603" w14:textId="01DFC902" w:rsidR="004A2FDB" w:rsidRDefault="004A2FDB">
      <w:r>
        <w:t>That works for me!</w:t>
      </w:r>
      <w:r>
        <w:annotationRef/>
      </w:r>
    </w:p>
    <w:p w14:paraId="208EBE9F" w14:textId="11BDE0BF" w:rsidR="004A2FDB" w:rsidRDefault="004A2FDB"/>
  </w:comment>
  <w:comment w:id="3" w:author="Marston, Rachel" w:date="2020-06-08T09:32:00Z" w:initials="MR">
    <w:p w14:paraId="31D69B8B" w14:textId="16B80275" w:rsidR="004A2FDB" w:rsidRDefault="004A2FDB">
      <w:r>
        <w:t>Unlike Theological Explorations, the course won't be called Theological Integrations. Rather, courses will carry this designation (right?) so we should make sure the form and the guidelines reflect that.</w:t>
      </w:r>
      <w:r>
        <w:annotationRef/>
      </w:r>
    </w:p>
  </w:comment>
  <w:comment w:id="4" w:author="Chetty, Sunil" w:date="2020-06-13T16:24:00Z" w:initials="CS">
    <w:p w14:paraId="22D48ABA" w14:textId="792AAA5E" w:rsidR="004A2FDB" w:rsidRDefault="004A2FDB">
      <w:r>
        <w:t xml:space="preserve">I agree with Rachel, but the language seems to be cumbersome if we </w:t>
      </w:r>
      <w:proofErr w:type="gramStart"/>
      <w:r>
        <w:t>have to</w:t>
      </w:r>
      <w:proofErr w:type="gramEnd"/>
      <w:r>
        <w:t xml:space="preserve"> continue stating "A course carrying the Theological Integrations designation..." Maybe we could add a note clarifying what we mean by "Theological Integrations course"?</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61A53C" w15:done="1"/>
  <w15:commentEx w15:paraId="34471F4F" w15:paraIdParent="3361A53C" w15:done="1"/>
  <w15:commentEx w15:paraId="208EBE9F" w15:paraIdParent="3361A53C" w15:done="1"/>
  <w15:commentEx w15:paraId="31D69B8B" w15:done="1"/>
  <w15:commentEx w15:paraId="22D48ABA" w15:paraIdParent="31D69B8B" w15:done="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9AA0E91" w16cex:dateUtc="2020-06-08T14:31:05.274Z"/>
  <w16cex:commentExtensible w16cex:durableId="0FF9F726" w16cex:dateUtc="2020-06-08T14:32:44.307Z"/>
  <w16cex:commentExtensible w16cex:durableId="7CF068A6" w16cex:dateUtc="2020-06-08T19:55:34.583Z"/>
  <w16cex:commentExtensible w16cex:durableId="6CBDBE7D" w16cex:dateUtc="2020-06-13T21:24:33.728Z"/>
  <w16cex:commentExtensible w16cex:durableId="68695845" w16cex:dateUtc="2020-06-13T21:24:58.465Z"/>
  <w16cex:commentExtensible w16cex:durableId="4C3CA0E7" w16cex:dateUtc="2020-06-13T21:57:41.017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61A53C" w16cid:durableId="22A62746"/>
  <w16cid:commentId w16cid:paraId="34471F4F" w16cid:durableId="6CBDBE7D"/>
  <w16cid:commentId w16cid:paraId="208EBE9F" w16cid:durableId="4C3CA0E7"/>
  <w16cid:commentId w16cid:paraId="31D69B8B" w16cid:durableId="0FF9F726"/>
  <w16cid:commentId w16cid:paraId="22D48ABA" w16cid:durableId="6869584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6786"/>
    <w:multiLevelType w:val="hybridMultilevel"/>
    <w:tmpl w:val="BF3E478E"/>
    <w:lvl w:ilvl="0" w:tplc="65EEFAF4">
      <w:start w:val="1"/>
      <w:numFmt w:val="bullet"/>
      <w:lvlText w:val=""/>
      <w:lvlJc w:val="left"/>
      <w:pPr>
        <w:ind w:left="720" w:hanging="360"/>
      </w:pPr>
      <w:rPr>
        <w:rFonts w:ascii="Symbol" w:hAnsi="Symbol" w:hint="default"/>
      </w:rPr>
    </w:lvl>
    <w:lvl w:ilvl="1" w:tplc="12D6FD24">
      <w:start w:val="1"/>
      <w:numFmt w:val="bullet"/>
      <w:lvlText w:val="o"/>
      <w:lvlJc w:val="left"/>
      <w:pPr>
        <w:ind w:left="1440" w:hanging="360"/>
      </w:pPr>
      <w:rPr>
        <w:rFonts w:ascii="Courier New" w:hAnsi="Courier New" w:hint="default"/>
      </w:rPr>
    </w:lvl>
    <w:lvl w:ilvl="2" w:tplc="E6B404E0">
      <w:start w:val="1"/>
      <w:numFmt w:val="bullet"/>
      <w:lvlText w:val=""/>
      <w:lvlJc w:val="left"/>
      <w:pPr>
        <w:ind w:left="2160" w:hanging="360"/>
      </w:pPr>
      <w:rPr>
        <w:rFonts w:ascii="Wingdings" w:hAnsi="Wingdings" w:hint="default"/>
      </w:rPr>
    </w:lvl>
    <w:lvl w:ilvl="3" w:tplc="43962ED4">
      <w:start w:val="1"/>
      <w:numFmt w:val="bullet"/>
      <w:lvlText w:val=""/>
      <w:lvlJc w:val="left"/>
      <w:pPr>
        <w:ind w:left="2880" w:hanging="360"/>
      </w:pPr>
      <w:rPr>
        <w:rFonts w:ascii="Symbol" w:hAnsi="Symbol" w:hint="default"/>
      </w:rPr>
    </w:lvl>
    <w:lvl w:ilvl="4" w:tplc="091E18A8">
      <w:start w:val="1"/>
      <w:numFmt w:val="bullet"/>
      <w:lvlText w:val="o"/>
      <w:lvlJc w:val="left"/>
      <w:pPr>
        <w:ind w:left="3600" w:hanging="360"/>
      </w:pPr>
      <w:rPr>
        <w:rFonts w:ascii="Courier New" w:hAnsi="Courier New" w:hint="default"/>
      </w:rPr>
    </w:lvl>
    <w:lvl w:ilvl="5" w:tplc="4FD4042C">
      <w:start w:val="1"/>
      <w:numFmt w:val="bullet"/>
      <w:lvlText w:val=""/>
      <w:lvlJc w:val="left"/>
      <w:pPr>
        <w:ind w:left="4320" w:hanging="360"/>
      </w:pPr>
      <w:rPr>
        <w:rFonts w:ascii="Wingdings" w:hAnsi="Wingdings" w:hint="default"/>
      </w:rPr>
    </w:lvl>
    <w:lvl w:ilvl="6" w:tplc="8C007A90">
      <w:start w:val="1"/>
      <w:numFmt w:val="bullet"/>
      <w:lvlText w:val=""/>
      <w:lvlJc w:val="left"/>
      <w:pPr>
        <w:ind w:left="5040" w:hanging="360"/>
      </w:pPr>
      <w:rPr>
        <w:rFonts w:ascii="Symbol" w:hAnsi="Symbol" w:hint="default"/>
      </w:rPr>
    </w:lvl>
    <w:lvl w:ilvl="7" w:tplc="427CF054">
      <w:start w:val="1"/>
      <w:numFmt w:val="bullet"/>
      <w:lvlText w:val="o"/>
      <w:lvlJc w:val="left"/>
      <w:pPr>
        <w:ind w:left="5760" w:hanging="360"/>
      </w:pPr>
      <w:rPr>
        <w:rFonts w:ascii="Courier New" w:hAnsi="Courier New" w:hint="default"/>
      </w:rPr>
    </w:lvl>
    <w:lvl w:ilvl="8" w:tplc="5240E2F0">
      <w:start w:val="1"/>
      <w:numFmt w:val="bullet"/>
      <w:lvlText w:val=""/>
      <w:lvlJc w:val="left"/>
      <w:pPr>
        <w:ind w:left="6480" w:hanging="360"/>
      </w:pPr>
      <w:rPr>
        <w:rFonts w:ascii="Wingdings" w:hAnsi="Wingdings" w:hint="default"/>
      </w:rPr>
    </w:lvl>
  </w:abstractNum>
  <w:abstractNum w:abstractNumId="1" w15:restartNumberingAfterBreak="0">
    <w:nsid w:val="09EE33B7"/>
    <w:multiLevelType w:val="multilevel"/>
    <w:tmpl w:val="709A50C6"/>
    <w:lvl w:ilvl="0">
      <w:start w:val="3"/>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Letter"/>
      <w:lvlText w:val="%3."/>
      <w:lvlJc w:val="left"/>
      <w:pPr>
        <w:ind w:left="1350" w:hanging="360"/>
      </w:pPr>
      <w:rPr>
        <w:rFonts w:ascii="Times New Roman" w:hAnsi="Times New Roman" w:cs="Times New Roman" w:hint="default"/>
        <w:b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1253C6"/>
    <w:multiLevelType w:val="multilevel"/>
    <w:tmpl w:val="8F46D9B2"/>
    <w:lvl w:ilvl="0">
      <w:start w:val="3"/>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ind w:left="1350" w:hanging="360"/>
      </w:pPr>
      <w:rPr>
        <w:rFonts w:ascii="Times New Roman" w:hAnsi="Times New Roman" w:cs="Times New Roman" w:hint="default"/>
        <w:b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244FFD"/>
    <w:multiLevelType w:val="multilevel"/>
    <w:tmpl w:val="C12412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91D43BE"/>
    <w:multiLevelType w:val="multilevel"/>
    <w:tmpl w:val="496AE2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145D3A"/>
    <w:multiLevelType w:val="multilevel"/>
    <w:tmpl w:val="A3629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CF16F9"/>
    <w:multiLevelType w:val="hybridMultilevel"/>
    <w:tmpl w:val="1F3CBC7A"/>
    <w:lvl w:ilvl="0" w:tplc="1FC089F4">
      <w:start w:val="1"/>
      <w:numFmt w:val="bullet"/>
      <w:lvlText w:val=""/>
      <w:lvlJc w:val="left"/>
      <w:pPr>
        <w:ind w:left="720" w:hanging="360"/>
      </w:pPr>
      <w:rPr>
        <w:rFonts w:ascii="Symbol" w:hAnsi="Symbol" w:hint="default"/>
      </w:rPr>
    </w:lvl>
    <w:lvl w:ilvl="1" w:tplc="E9E8FF64">
      <w:start w:val="1"/>
      <w:numFmt w:val="bullet"/>
      <w:lvlText w:val=""/>
      <w:lvlJc w:val="left"/>
      <w:pPr>
        <w:ind w:left="1440" w:hanging="360"/>
      </w:pPr>
      <w:rPr>
        <w:rFonts w:ascii="Symbol" w:hAnsi="Symbol" w:hint="default"/>
      </w:rPr>
    </w:lvl>
    <w:lvl w:ilvl="2" w:tplc="4154B0EA">
      <w:start w:val="1"/>
      <w:numFmt w:val="bullet"/>
      <w:lvlText w:val=""/>
      <w:lvlJc w:val="left"/>
      <w:pPr>
        <w:ind w:left="2160" w:hanging="360"/>
      </w:pPr>
      <w:rPr>
        <w:rFonts w:ascii="Wingdings" w:hAnsi="Wingdings" w:hint="default"/>
      </w:rPr>
    </w:lvl>
    <w:lvl w:ilvl="3" w:tplc="99E8FF28">
      <w:start w:val="1"/>
      <w:numFmt w:val="bullet"/>
      <w:lvlText w:val=""/>
      <w:lvlJc w:val="left"/>
      <w:pPr>
        <w:ind w:left="2880" w:hanging="360"/>
      </w:pPr>
      <w:rPr>
        <w:rFonts w:ascii="Symbol" w:hAnsi="Symbol" w:hint="default"/>
      </w:rPr>
    </w:lvl>
    <w:lvl w:ilvl="4" w:tplc="3A566AD2">
      <w:start w:val="1"/>
      <w:numFmt w:val="bullet"/>
      <w:lvlText w:val="o"/>
      <w:lvlJc w:val="left"/>
      <w:pPr>
        <w:ind w:left="3600" w:hanging="360"/>
      </w:pPr>
      <w:rPr>
        <w:rFonts w:ascii="Courier New" w:hAnsi="Courier New" w:hint="default"/>
      </w:rPr>
    </w:lvl>
    <w:lvl w:ilvl="5" w:tplc="70746B82">
      <w:start w:val="1"/>
      <w:numFmt w:val="bullet"/>
      <w:lvlText w:val=""/>
      <w:lvlJc w:val="left"/>
      <w:pPr>
        <w:ind w:left="4320" w:hanging="360"/>
      </w:pPr>
      <w:rPr>
        <w:rFonts w:ascii="Wingdings" w:hAnsi="Wingdings" w:hint="default"/>
      </w:rPr>
    </w:lvl>
    <w:lvl w:ilvl="6" w:tplc="F2BEE64C">
      <w:start w:val="1"/>
      <w:numFmt w:val="bullet"/>
      <w:lvlText w:val=""/>
      <w:lvlJc w:val="left"/>
      <w:pPr>
        <w:ind w:left="5040" w:hanging="360"/>
      </w:pPr>
      <w:rPr>
        <w:rFonts w:ascii="Symbol" w:hAnsi="Symbol" w:hint="default"/>
      </w:rPr>
    </w:lvl>
    <w:lvl w:ilvl="7" w:tplc="B89A92F8">
      <w:start w:val="1"/>
      <w:numFmt w:val="bullet"/>
      <w:lvlText w:val="o"/>
      <w:lvlJc w:val="left"/>
      <w:pPr>
        <w:ind w:left="5760" w:hanging="360"/>
      </w:pPr>
      <w:rPr>
        <w:rFonts w:ascii="Courier New" w:hAnsi="Courier New" w:hint="default"/>
      </w:rPr>
    </w:lvl>
    <w:lvl w:ilvl="8" w:tplc="A4C82350">
      <w:start w:val="1"/>
      <w:numFmt w:val="bullet"/>
      <w:lvlText w:val=""/>
      <w:lvlJc w:val="left"/>
      <w:pPr>
        <w:ind w:left="6480" w:hanging="360"/>
      </w:pPr>
      <w:rPr>
        <w:rFonts w:ascii="Wingdings" w:hAnsi="Wingdings" w:hint="default"/>
      </w:rPr>
    </w:lvl>
  </w:abstractNum>
  <w:abstractNum w:abstractNumId="7" w15:restartNumberingAfterBreak="0">
    <w:nsid w:val="54AB61CA"/>
    <w:multiLevelType w:val="hybridMultilevel"/>
    <w:tmpl w:val="6DB8C700"/>
    <w:lvl w:ilvl="0" w:tplc="74FEC788">
      <w:start w:val="1"/>
      <w:numFmt w:val="decimal"/>
      <w:lvlText w:val="%1."/>
      <w:lvlJc w:val="left"/>
      <w:pPr>
        <w:ind w:left="720" w:hanging="360"/>
      </w:pPr>
    </w:lvl>
    <w:lvl w:ilvl="1" w:tplc="D218A23E">
      <w:start w:val="1"/>
      <w:numFmt w:val="lowerLetter"/>
      <w:lvlText w:val="%2."/>
      <w:lvlJc w:val="left"/>
      <w:pPr>
        <w:ind w:left="1440" w:hanging="360"/>
      </w:pPr>
      <w:rPr>
        <w:rFonts w:ascii="Times New Roman" w:hAnsi="Times New Roman" w:cs="Times New Roman" w:hint="default"/>
      </w:rPr>
    </w:lvl>
    <w:lvl w:ilvl="2" w:tplc="A5509E92">
      <w:start w:val="1"/>
      <w:numFmt w:val="lowerRoman"/>
      <w:lvlText w:val="%3."/>
      <w:lvlJc w:val="right"/>
      <w:pPr>
        <w:ind w:left="2160" w:hanging="180"/>
      </w:pPr>
    </w:lvl>
    <w:lvl w:ilvl="3" w:tplc="F4B42266">
      <w:start w:val="1"/>
      <w:numFmt w:val="decimal"/>
      <w:lvlText w:val="%4."/>
      <w:lvlJc w:val="left"/>
      <w:pPr>
        <w:ind w:left="2880" w:hanging="360"/>
      </w:pPr>
    </w:lvl>
    <w:lvl w:ilvl="4" w:tplc="18DE4FB0">
      <w:start w:val="1"/>
      <w:numFmt w:val="lowerLetter"/>
      <w:lvlText w:val="%5."/>
      <w:lvlJc w:val="left"/>
      <w:pPr>
        <w:ind w:left="3600" w:hanging="360"/>
      </w:pPr>
    </w:lvl>
    <w:lvl w:ilvl="5" w:tplc="80468C6A">
      <w:start w:val="1"/>
      <w:numFmt w:val="lowerRoman"/>
      <w:lvlText w:val="%6."/>
      <w:lvlJc w:val="right"/>
      <w:pPr>
        <w:ind w:left="4320" w:hanging="180"/>
      </w:pPr>
    </w:lvl>
    <w:lvl w:ilvl="6" w:tplc="3402C00A">
      <w:start w:val="1"/>
      <w:numFmt w:val="decimal"/>
      <w:lvlText w:val="%7."/>
      <w:lvlJc w:val="left"/>
      <w:pPr>
        <w:ind w:left="5040" w:hanging="360"/>
      </w:pPr>
    </w:lvl>
    <w:lvl w:ilvl="7" w:tplc="BB148720">
      <w:start w:val="1"/>
      <w:numFmt w:val="lowerLetter"/>
      <w:lvlText w:val="%8."/>
      <w:lvlJc w:val="left"/>
      <w:pPr>
        <w:ind w:left="5760" w:hanging="360"/>
      </w:pPr>
    </w:lvl>
    <w:lvl w:ilvl="8" w:tplc="56207B8E">
      <w:start w:val="1"/>
      <w:numFmt w:val="lowerRoman"/>
      <w:lvlText w:val="%9."/>
      <w:lvlJc w:val="right"/>
      <w:pPr>
        <w:ind w:left="6480" w:hanging="180"/>
      </w:pPr>
    </w:lvl>
  </w:abstractNum>
  <w:abstractNum w:abstractNumId="8" w15:restartNumberingAfterBreak="0">
    <w:nsid w:val="6BC52764"/>
    <w:multiLevelType w:val="multilevel"/>
    <w:tmpl w:val="E3B2B1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71C44892"/>
    <w:multiLevelType w:val="multilevel"/>
    <w:tmpl w:val="83D88D9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num>
  <w:num w:numId="2">
    <w:abstractNumId w:val="0"/>
  </w:num>
  <w:num w:numId="3">
    <w:abstractNumId w:val="7"/>
  </w:num>
  <w:num w:numId="4">
    <w:abstractNumId w:val="5"/>
  </w:num>
  <w:num w:numId="5">
    <w:abstractNumId w:val="4"/>
  </w:num>
  <w:num w:numId="6">
    <w:abstractNumId w:val="8"/>
  </w:num>
  <w:num w:numId="7">
    <w:abstractNumId w:val="9"/>
  </w:num>
  <w:num w:numId="8">
    <w:abstractNumId w:val="2"/>
  </w:num>
  <w:num w:numId="9">
    <w:abstractNumId w:val="3"/>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ston, Rachel">
    <w15:presenceInfo w15:providerId="AD" w15:userId="S::rmarston@csbsju.edu::b188742e-2adb-4117-b060-fec56b241c19"/>
  </w15:person>
  <w15:person w15:author="Chetty, Sunil">
    <w15:presenceInfo w15:providerId="AD" w15:userId="S::schetty@csbsju.edu::2a058c69-674d-4fec-b5a9-a78aeb746b6b"/>
  </w15:person>
  <w15:person w15:author="Taylor, Laura">
    <w15:presenceInfo w15:providerId="AD" w15:userId="S::ltaylor@csbsju.edu::c72a80ae-54a7-4b1f-9f33-df7896d19f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C55"/>
    <w:rsid w:val="00054128"/>
    <w:rsid w:val="000753B3"/>
    <w:rsid w:val="00125FDB"/>
    <w:rsid w:val="001B7FA1"/>
    <w:rsid w:val="002D1F10"/>
    <w:rsid w:val="002E2C55"/>
    <w:rsid w:val="00325820"/>
    <w:rsid w:val="003602EC"/>
    <w:rsid w:val="004A2FDB"/>
    <w:rsid w:val="0058059C"/>
    <w:rsid w:val="00603FFD"/>
    <w:rsid w:val="006636B5"/>
    <w:rsid w:val="0076546C"/>
    <w:rsid w:val="007D2FE4"/>
    <w:rsid w:val="007D4836"/>
    <w:rsid w:val="00815B2B"/>
    <w:rsid w:val="00A12E1C"/>
    <w:rsid w:val="00A95256"/>
    <w:rsid w:val="00AB7874"/>
    <w:rsid w:val="00B27240"/>
    <w:rsid w:val="00C03F41"/>
    <w:rsid w:val="00C142AD"/>
    <w:rsid w:val="00CE2186"/>
    <w:rsid w:val="00E0683C"/>
    <w:rsid w:val="00E13D14"/>
    <w:rsid w:val="00E42E6D"/>
    <w:rsid w:val="00E56242"/>
    <w:rsid w:val="00EF1542"/>
    <w:rsid w:val="00F7605D"/>
    <w:rsid w:val="020FA5EF"/>
    <w:rsid w:val="07892D0C"/>
    <w:rsid w:val="0898FFC3"/>
    <w:rsid w:val="089D7807"/>
    <w:rsid w:val="0984D167"/>
    <w:rsid w:val="0B4BA9DA"/>
    <w:rsid w:val="0B5E9011"/>
    <w:rsid w:val="0BC599D9"/>
    <w:rsid w:val="0D3C32DA"/>
    <w:rsid w:val="0DEF382E"/>
    <w:rsid w:val="0E08876D"/>
    <w:rsid w:val="100F62AA"/>
    <w:rsid w:val="11A52C54"/>
    <w:rsid w:val="13ED8701"/>
    <w:rsid w:val="15B7C475"/>
    <w:rsid w:val="1EE9EE04"/>
    <w:rsid w:val="20D2065B"/>
    <w:rsid w:val="24971C5F"/>
    <w:rsid w:val="27D56262"/>
    <w:rsid w:val="28540A26"/>
    <w:rsid w:val="2A03AB8F"/>
    <w:rsid w:val="2A3067E7"/>
    <w:rsid w:val="2D12F369"/>
    <w:rsid w:val="2D5BA283"/>
    <w:rsid w:val="2DE3D94D"/>
    <w:rsid w:val="300AB344"/>
    <w:rsid w:val="3359AEEB"/>
    <w:rsid w:val="3439C3C4"/>
    <w:rsid w:val="359961E3"/>
    <w:rsid w:val="37504AB9"/>
    <w:rsid w:val="39136745"/>
    <w:rsid w:val="3DBDF648"/>
    <w:rsid w:val="3DD800E9"/>
    <w:rsid w:val="3FF42652"/>
    <w:rsid w:val="40FDC157"/>
    <w:rsid w:val="44DB330C"/>
    <w:rsid w:val="45943DD4"/>
    <w:rsid w:val="471D3F7B"/>
    <w:rsid w:val="4A552563"/>
    <w:rsid w:val="4AAC162E"/>
    <w:rsid w:val="4B2D8075"/>
    <w:rsid w:val="4BA373A4"/>
    <w:rsid w:val="4BD67643"/>
    <w:rsid w:val="4FD569C6"/>
    <w:rsid w:val="55BD74B9"/>
    <w:rsid w:val="55F83E29"/>
    <w:rsid w:val="56C1ECC0"/>
    <w:rsid w:val="58B710E8"/>
    <w:rsid w:val="5AF1A24F"/>
    <w:rsid w:val="5D257D56"/>
    <w:rsid w:val="5DF3246C"/>
    <w:rsid w:val="60AFC54D"/>
    <w:rsid w:val="6470B2CF"/>
    <w:rsid w:val="665FDD6D"/>
    <w:rsid w:val="673A8555"/>
    <w:rsid w:val="69B247F3"/>
    <w:rsid w:val="6B500C4B"/>
    <w:rsid w:val="6D5DBAAD"/>
    <w:rsid w:val="7141D21D"/>
    <w:rsid w:val="71A8D2D1"/>
    <w:rsid w:val="72329D20"/>
    <w:rsid w:val="7371B6EB"/>
    <w:rsid w:val="74F0B92E"/>
    <w:rsid w:val="75CFD09A"/>
    <w:rsid w:val="76E77172"/>
    <w:rsid w:val="7739D0A2"/>
    <w:rsid w:val="77639E6F"/>
    <w:rsid w:val="799439ED"/>
    <w:rsid w:val="79EC1385"/>
    <w:rsid w:val="7DFC7D57"/>
    <w:rsid w:val="7E021FFE"/>
    <w:rsid w:val="7E7EC52F"/>
    <w:rsid w:val="7F832ABD"/>
    <w:rsid w:val="7FCA7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92FED"/>
  <w14:defaultImageDpi w14:val="32767"/>
  <w15:chartTrackingRefBased/>
  <w15:docId w15:val="{06F65B46-ABD2-5446-A49F-9735E3936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E2C5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E2C55"/>
  </w:style>
  <w:style w:type="character" w:customStyle="1" w:styleId="eop">
    <w:name w:val="eop"/>
    <w:basedOn w:val="DefaultParagraphFont"/>
    <w:rsid w:val="002E2C55"/>
  </w:style>
  <w:style w:type="character" w:customStyle="1" w:styleId="apple-converted-space">
    <w:name w:val="apple-converted-space"/>
    <w:basedOn w:val="DefaultParagraphFont"/>
    <w:rsid w:val="002E2C55"/>
  </w:style>
  <w:style w:type="character" w:customStyle="1" w:styleId="advancedproofingissue">
    <w:name w:val="advancedproofingissue"/>
    <w:basedOn w:val="DefaultParagraphFont"/>
    <w:rsid w:val="002E2C55"/>
  </w:style>
  <w:style w:type="character" w:customStyle="1" w:styleId="scxw55008030">
    <w:name w:val="scxw55008030"/>
    <w:basedOn w:val="DefaultParagraphFont"/>
    <w:rsid w:val="002E2C55"/>
  </w:style>
  <w:style w:type="paragraph" w:styleId="ListParagraph">
    <w:name w:val="List Paragraph"/>
    <w:basedOn w:val="Normal"/>
    <w:uiPriority w:val="34"/>
    <w:qFormat/>
    <w:rsid w:val="00603FFD"/>
    <w:pPr>
      <w:ind w:left="720"/>
      <w:contextualSpacing/>
    </w:pPr>
  </w:style>
  <w:style w:type="paragraph" w:styleId="BalloonText">
    <w:name w:val="Balloon Text"/>
    <w:basedOn w:val="Normal"/>
    <w:link w:val="BalloonTextChar"/>
    <w:uiPriority w:val="99"/>
    <w:semiHidden/>
    <w:unhideWhenUsed/>
    <w:rsid w:val="00C142A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42AD"/>
    <w:rPr>
      <w:rFonts w:ascii="Times New Roman" w:hAnsi="Times New Roman" w:cs="Times New Roman"/>
      <w:sz w:val="18"/>
      <w:szCs w:val="18"/>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7605D"/>
    <w:rPr>
      <w:b/>
      <w:bCs/>
    </w:rPr>
  </w:style>
  <w:style w:type="character" w:customStyle="1" w:styleId="CommentSubjectChar">
    <w:name w:val="Comment Subject Char"/>
    <w:basedOn w:val="CommentTextChar"/>
    <w:link w:val="CommentSubject"/>
    <w:uiPriority w:val="99"/>
    <w:semiHidden/>
    <w:rsid w:val="00F7605D"/>
    <w:rPr>
      <w:b/>
      <w:bCs/>
      <w:sz w:val="20"/>
      <w:szCs w:val="20"/>
    </w:rPr>
  </w:style>
  <w:style w:type="paragraph" w:styleId="Revision">
    <w:name w:val="Revision"/>
    <w:hidden/>
    <w:uiPriority w:val="99"/>
    <w:semiHidden/>
    <w:rsid w:val="00F7605D"/>
  </w:style>
  <w:style w:type="character" w:styleId="Hyperlink">
    <w:name w:val="Hyperlink"/>
    <w:basedOn w:val="DefaultParagraphFont"/>
    <w:uiPriority w:val="99"/>
    <w:unhideWhenUsed/>
    <w:rsid w:val="00F760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sbsju.edu/integrations-curriculum/faculty-resources/resources/key-components/the-learning-goals" TargetMode="External"/><Relationship Id="rId2" Type="http://schemas.openxmlformats.org/officeDocument/2006/relationships/customXml" Target="../customXml/item2.xml"/><Relationship Id="R7078d5281bc6478e"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EE7A4DAF04A0489863C11630CDA8A4" ma:contentTypeVersion="6" ma:contentTypeDescription="Create a new document." ma:contentTypeScope="" ma:versionID="9ce0614c5d59961b5b9b355211534a98">
  <xsd:schema xmlns:xsd="http://www.w3.org/2001/XMLSchema" xmlns:xs="http://www.w3.org/2001/XMLSchema" xmlns:p="http://schemas.microsoft.com/office/2006/metadata/properties" xmlns:ns2="ba83eacb-4018-408d-98fa-2643b901ab08" xmlns:ns3="d839b0a8-63aa-452e-b787-1670a9fcad08" targetNamespace="http://schemas.microsoft.com/office/2006/metadata/properties" ma:root="true" ma:fieldsID="a455c03f2b485ee85355bab2051f340f" ns2:_="" ns3:_="">
    <xsd:import namespace="ba83eacb-4018-408d-98fa-2643b901ab08"/>
    <xsd:import namespace="d839b0a8-63aa-452e-b787-1670a9fcad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3eacb-4018-408d-98fa-2643b901ab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39b0a8-63aa-452e-b787-1670a9fcad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9DE4A-3FBD-4B90-947F-4734710B46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607890-5BA6-4C39-B02E-42A1DC889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3eacb-4018-408d-98fa-2643b901ab08"/>
    <ds:schemaRef ds:uri="d839b0a8-63aa-452e-b787-1670a9fcad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ABAD3E-F0F1-4107-856A-2C54864630F8}">
  <ds:schemaRefs>
    <ds:schemaRef ds:uri="http://schemas.microsoft.com/sharepoint/v3/contenttype/forms"/>
  </ds:schemaRefs>
</ds:datastoreItem>
</file>

<file path=customXml/itemProps4.xml><?xml version="1.0" encoding="utf-8"?>
<ds:datastoreItem xmlns:ds="http://schemas.openxmlformats.org/officeDocument/2006/customXml" ds:itemID="{5D327500-D075-4943-A5FC-E90E88E61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Laura</dc:creator>
  <cp:keywords/>
  <dc:description/>
  <cp:lastModifiedBy>Schmitz, Laura</cp:lastModifiedBy>
  <cp:revision>3</cp:revision>
  <dcterms:created xsi:type="dcterms:W3CDTF">2020-07-27T15:14:00Z</dcterms:created>
  <dcterms:modified xsi:type="dcterms:W3CDTF">2020-07-27T17:24:00Z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0x01010039EE7A4DAF04A0489863C11630CDA8A4</vt:lpwstr>
  </property>
</Properties>
</file>