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9FD4" w14:textId="549F6584" w:rsidR="002E2C55" w:rsidRPr="007B323E" w:rsidRDefault="002E2C55" w:rsidP="07C917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7C91734">
        <w:rPr>
          <w:rStyle w:val="eop"/>
          <w:b/>
          <w:bCs/>
        </w:rPr>
        <w:t>Theological Integrations Teaching Guidelines</w:t>
      </w:r>
    </w:p>
    <w:p w14:paraId="646B1D17" w14:textId="77777777" w:rsidR="00AB6A00" w:rsidRDefault="00AB6A00" w:rsidP="07C9173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6754E3D" w14:textId="1D11F96E" w:rsidR="00AB6A00" w:rsidRPr="00C2491E" w:rsidRDefault="00AB6A00" w:rsidP="07C91734">
      <w:pPr>
        <w:rPr>
          <w:rFonts w:ascii="Times New Roman" w:eastAsia="Times New Roman" w:hAnsi="Times New Roman" w:cs="Times New Roman"/>
          <w:color w:val="000000" w:themeColor="text1"/>
        </w:rPr>
      </w:pPr>
      <w:r w:rsidRPr="07C91734">
        <w:rPr>
          <w:rFonts w:ascii="Times New Roman" w:eastAsia="Times New Roman" w:hAnsi="Times New Roman" w:cs="Times New Roman"/>
          <w:color w:val="000000" w:themeColor="text1"/>
        </w:rPr>
        <w:t xml:space="preserve">Date: Created and approved by the General Education Curriculum Committee (GECC), </w:t>
      </w:r>
      <w:r w:rsidR="00335AC3" w:rsidRPr="07C91734">
        <w:rPr>
          <w:rFonts w:ascii="Times New Roman" w:eastAsia="Times New Roman" w:hAnsi="Times New Roman" w:cs="Times New Roman"/>
          <w:color w:val="000000" w:themeColor="text1"/>
        </w:rPr>
        <w:t>February</w:t>
      </w:r>
      <w:r w:rsidRPr="07C91734">
        <w:rPr>
          <w:rFonts w:ascii="Times New Roman" w:eastAsia="Times New Roman" w:hAnsi="Times New Roman" w:cs="Times New Roman"/>
          <w:color w:val="000000" w:themeColor="text1"/>
        </w:rPr>
        <w:t xml:space="preserve"> 2021. </w:t>
      </w:r>
    </w:p>
    <w:p w14:paraId="7696BC6D" w14:textId="6F064ADB" w:rsidR="002E2C55" w:rsidRPr="007B323E" w:rsidRDefault="002E2C55" w:rsidP="07C91734">
      <w:pPr>
        <w:pStyle w:val="paragraph"/>
        <w:spacing w:before="0" w:beforeAutospacing="0" w:after="0" w:afterAutospacing="0"/>
        <w:jc w:val="center"/>
        <w:textAlignment w:val="baseline"/>
      </w:pPr>
      <w:r w:rsidRPr="07C91734">
        <w:rPr>
          <w:rStyle w:val="eop"/>
        </w:rPr>
        <w:t> </w:t>
      </w:r>
    </w:p>
    <w:p w14:paraId="163FE3D0" w14:textId="343C22E9" w:rsidR="13ED8701" w:rsidRPr="007B323E" w:rsidRDefault="13ED8701" w:rsidP="07C91734">
      <w:pPr>
        <w:pStyle w:val="paragraph"/>
        <w:spacing w:before="0" w:beforeAutospacing="0" w:after="0" w:afterAutospacing="0"/>
        <w:rPr>
          <w:rStyle w:val="normaltextrun"/>
          <w:b/>
          <w:bCs/>
          <w:color w:val="000000" w:themeColor="text1"/>
          <w:u w:val="single"/>
        </w:rPr>
      </w:pPr>
      <w:r w:rsidRPr="07C91734">
        <w:rPr>
          <w:rStyle w:val="normaltextrun"/>
          <w:b/>
          <w:bCs/>
          <w:color w:val="000000" w:themeColor="text1"/>
          <w:u w:val="single"/>
        </w:rPr>
        <w:t>Course Overview</w:t>
      </w:r>
    </w:p>
    <w:p w14:paraId="02141E43" w14:textId="77777777" w:rsidR="00815B2B" w:rsidRPr="007B323E" w:rsidRDefault="00815B2B" w:rsidP="07C91734">
      <w:pPr>
        <w:pStyle w:val="paragraph"/>
        <w:spacing w:before="0" w:beforeAutospacing="0" w:after="0" w:afterAutospacing="0"/>
        <w:rPr>
          <w:rStyle w:val="normaltextrun"/>
          <w:b/>
          <w:bCs/>
          <w:color w:val="000000" w:themeColor="text1"/>
          <w:u w:val="single"/>
        </w:rPr>
      </w:pPr>
    </w:p>
    <w:p w14:paraId="1F549F1C" w14:textId="513FAEC3" w:rsidR="002E2C55" w:rsidRPr="007B323E" w:rsidRDefault="002E2C55" w:rsidP="07C91734">
      <w:pPr>
        <w:pStyle w:val="paragraph"/>
        <w:spacing w:before="0" w:beforeAutospacing="0" w:after="0" w:afterAutospacing="0"/>
        <w:rPr>
          <w:rStyle w:val="eop"/>
        </w:rPr>
      </w:pPr>
      <w:r w:rsidRPr="07C91734">
        <w:rPr>
          <w:rStyle w:val="normaltextrun"/>
          <w:color w:val="000000" w:themeColor="text1"/>
        </w:rPr>
        <w:t>The requirement of the Theology course sequence in the Integrations curriculum emerges out of the College of St. Benedict and St. John’s University’s unique mission as Catholic Benedictine institutions.</w:t>
      </w:r>
      <w:r w:rsidRPr="07C91734">
        <w:rPr>
          <w:rStyle w:val="apple-converted-space"/>
          <w:color w:val="000000" w:themeColor="text1"/>
        </w:rPr>
        <w:t> </w:t>
      </w:r>
      <w:r w:rsidR="00C142AD" w:rsidRPr="07C91734">
        <w:rPr>
          <w:rStyle w:val="normaltextrun"/>
          <w:color w:val="000000" w:themeColor="text1"/>
        </w:rPr>
        <w:t>The discipline of theology occurs within the bounds of a commitment to a</w:t>
      </w:r>
      <w:r w:rsidR="00C142AD" w:rsidRPr="07C91734">
        <w:rPr>
          <w:rStyle w:val="apple-converted-space"/>
          <w:color w:val="000000" w:themeColor="text1"/>
        </w:rPr>
        <w:t> </w:t>
      </w:r>
      <w:r w:rsidR="00C142AD" w:rsidRPr="07C91734">
        <w:rPr>
          <w:rStyle w:val="normaltextrun"/>
          <w:color w:val="000000" w:themeColor="text1"/>
        </w:rPr>
        <w:t>particular religious</w:t>
      </w:r>
      <w:r w:rsidR="00C142AD" w:rsidRPr="07C91734">
        <w:rPr>
          <w:rStyle w:val="apple-converted-space"/>
          <w:color w:val="000000" w:themeColor="text1"/>
        </w:rPr>
        <w:t> </w:t>
      </w:r>
      <w:r w:rsidR="00C142AD" w:rsidRPr="07C91734">
        <w:rPr>
          <w:rStyle w:val="normaltextrun"/>
          <w:color w:val="000000" w:themeColor="text1"/>
        </w:rPr>
        <w:t>community</w:t>
      </w:r>
      <w:r w:rsidR="74F0B92E" w:rsidRPr="07C91734">
        <w:rPr>
          <w:rStyle w:val="normaltextrun"/>
          <w:color w:val="000000" w:themeColor="text1"/>
        </w:rPr>
        <w:t>:</w:t>
      </w:r>
      <w:r w:rsidR="00C142AD" w:rsidRPr="07C91734">
        <w:rPr>
          <w:rStyle w:val="normaltextrun"/>
          <w:color w:val="000000" w:themeColor="text1"/>
        </w:rPr>
        <w:t xml:space="preserve"> its scripture, traditions, and practices; and the willingness to affirm the normativity of its truth and values.</w:t>
      </w:r>
      <w:r w:rsidR="00C142AD" w:rsidRPr="07C91734">
        <w:rPr>
          <w:rStyle w:val="apple-converted-space"/>
          <w:color w:val="000000" w:themeColor="text1"/>
        </w:rPr>
        <w:t> </w:t>
      </w:r>
      <w:r w:rsidR="00EF1542" w:rsidRPr="07C91734">
        <w:t>This is in contrast with the discipline of religious studies, which calls f</w:t>
      </w:r>
      <w:r w:rsidR="00EF1542" w:rsidRPr="07C91734">
        <w:rPr>
          <w:rStyle w:val="normaltextrun"/>
          <w:color w:val="000000" w:themeColor="text1"/>
        </w:rPr>
        <w:t>or a descriptive, non-normative study of religion/s</w:t>
      </w:r>
      <w:r w:rsidR="00EF1542" w:rsidRPr="07C91734">
        <w:t xml:space="preserve">. </w:t>
      </w:r>
      <w:r w:rsidR="00C142AD" w:rsidRPr="07C91734">
        <w:rPr>
          <w:rStyle w:val="normaltextrun"/>
          <w:color w:val="000000" w:themeColor="text1"/>
        </w:rPr>
        <w:t>For example,</w:t>
      </w:r>
      <w:r w:rsidR="00C142AD" w:rsidRPr="07C91734">
        <w:rPr>
          <w:rStyle w:val="apple-converted-space"/>
          <w:color w:val="000000" w:themeColor="text1"/>
        </w:rPr>
        <w:t> </w:t>
      </w:r>
      <w:r w:rsidR="00C142AD" w:rsidRPr="07C91734">
        <w:rPr>
          <w:rStyle w:val="normaltextrun"/>
          <w:color w:val="000000" w:themeColor="text1"/>
        </w:rPr>
        <w:t>Christian theology classically has been defined as ‘faith seeking understanding,’ where faith is the point of departure and return in a reasoned search to understand the contents of that faith better. Thus, it is an inquiry into faith, belief, and the religious dimensions of human existence,</w:t>
      </w:r>
      <w:r w:rsidR="00C142AD" w:rsidRPr="07C91734">
        <w:rPr>
          <w:rStyle w:val="apple-converted-space"/>
          <w:color w:val="000000" w:themeColor="text1"/>
        </w:rPr>
        <w:t> </w:t>
      </w:r>
      <w:r w:rsidR="00C142AD" w:rsidRPr="07C91734">
        <w:rPr>
          <w:rStyle w:val="normaltextrun"/>
          <w:color w:val="212529"/>
        </w:rPr>
        <w:t>whether one’s own or that of others.</w:t>
      </w:r>
      <w:r w:rsidR="00C142AD" w:rsidRPr="07C91734">
        <w:rPr>
          <w:rStyle w:val="apple-converted-space"/>
          <w:color w:val="212529"/>
        </w:rPr>
        <w:t> </w:t>
      </w:r>
      <w:r w:rsidR="00C142AD" w:rsidRPr="07C91734">
        <w:rPr>
          <w:rStyle w:val="scxw55008030"/>
        </w:rPr>
        <w:t> </w:t>
      </w:r>
      <w:r w:rsidR="3DD800E9" w:rsidRPr="07C91734">
        <w:rPr>
          <w:rStyle w:val="normaltextrun"/>
          <w:color w:val="000000" w:themeColor="text1"/>
        </w:rPr>
        <w:t>This</w:t>
      </w:r>
      <w:r w:rsidRPr="07C91734">
        <w:rPr>
          <w:rStyle w:val="apple-converted-space"/>
          <w:color w:val="000000" w:themeColor="text1"/>
        </w:rPr>
        <w:t> </w:t>
      </w:r>
      <w:r w:rsidRPr="07C91734">
        <w:rPr>
          <w:rStyle w:val="normaltextrun"/>
          <w:color w:val="000000" w:themeColor="text1"/>
        </w:rPr>
        <w:t xml:space="preserve">second theology </w:t>
      </w:r>
      <w:r w:rsidR="37504AB9" w:rsidRPr="07C91734">
        <w:rPr>
          <w:rStyle w:val="normaltextrun"/>
          <w:color w:val="000000" w:themeColor="text1"/>
        </w:rPr>
        <w:t xml:space="preserve">course </w:t>
      </w:r>
      <w:r w:rsidRPr="07C91734">
        <w:rPr>
          <w:rStyle w:val="normaltextrun"/>
          <w:color w:val="000000" w:themeColor="text1"/>
        </w:rPr>
        <w:t>can be on a variety of topics that meet the learning objectives and can include religions other than Christian</w:t>
      </w:r>
      <w:r w:rsidR="75CFD09A" w:rsidRPr="07C91734">
        <w:rPr>
          <w:rStyle w:val="normaltextrun"/>
          <w:color w:val="000000" w:themeColor="text1"/>
        </w:rPr>
        <w:t>ity</w:t>
      </w:r>
      <w:r w:rsidRPr="07C91734">
        <w:rPr>
          <w:rStyle w:val="normaltextrun"/>
          <w:color w:val="000000" w:themeColor="text1"/>
        </w:rPr>
        <w:t>.</w:t>
      </w:r>
    </w:p>
    <w:p w14:paraId="25D21E97" w14:textId="4A224D22" w:rsidR="07892D0C" w:rsidRPr="007B323E" w:rsidRDefault="07892D0C" w:rsidP="07C91734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</w:rPr>
      </w:pPr>
    </w:p>
    <w:p w14:paraId="4DF77125" w14:textId="663877A9" w:rsidR="0898FFC3" w:rsidRPr="007B323E" w:rsidRDefault="0898FFC3" w:rsidP="07C91734">
      <w:p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  <w:b/>
          <w:bCs/>
          <w:u w:val="single"/>
        </w:rPr>
        <w:t>Learning Goals</w:t>
      </w:r>
      <w:r w:rsidRPr="07C91734">
        <w:rPr>
          <w:rFonts w:ascii="Times New Roman" w:eastAsia="Times New Roman" w:hAnsi="Times New Roman" w:cs="Times New Roman"/>
        </w:rPr>
        <w:t xml:space="preserve"> </w:t>
      </w:r>
    </w:p>
    <w:p w14:paraId="4243514C" w14:textId="4C2B7354" w:rsidR="0898FFC3" w:rsidRPr="007B323E" w:rsidRDefault="0898FFC3" w:rsidP="07C91734">
      <w:p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 xml:space="preserve"> </w:t>
      </w:r>
    </w:p>
    <w:p w14:paraId="05A8D115" w14:textId="519B5221" w:rsidR="0898FFC3" w:rsidRPr="007B323E" w:rsidRDefault="0898FFC3" w:rsidP="07C91734">
      <w:pPr>
        <w:jc w:val="center"/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 xml:space="preserve">Religious Engagement </w:t>
      </w:r>
      <w:r w:rsidR="58B710E8" w:rsidRPr="07C91734">
        <w:rPr>
          <w:rFonts w:ascii="Times New Roman" w:eastAsia="Times New Roman" w:hAnsi="Times New Roman" w:cs="Times New Roman"/>
        </w:rPr>
        <w:t>- Intermediate</w:t>
      </w:r>
      <w:r w:rsidRPr="07C91734">
        <w:rPr>
          <w:rFonts w:ascii="Times New Roman" w:eastAsia="Times New Roman" w:hAnsi="Times New Roman" w:cs="Times New Roman"/>
        </w:rPr>
        <w:t xml:space="preserve"> </w:t>
      </w:r>
    </w:p>
    <w:p w14:paraId="4659733B" w14:textId="407FA67C" w:rsidR="0898FFC3" w:rsidRPr="007B323E" w:rsidRDefault="0898FFC3" w:rsidP="07C91734">
      <w:p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 xml:space="preserve">Students analyze forms of religious engagement by drawing on sources that may come from a range of academic disciplines. </w:t>
      </w:r>
    </w:p>
    <w:p w14:paraId="5C74B473" w14:textId="0FF74B99" w:rsidR="0898FFC3" w:rsidRPr="007B323E" w:rsidRDefault="0898FFC3" w:rsidP="07C91734">
      <w:pPr>
        <w:jc w:val="center"/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 xml:space="preserve"> </w:t>
      </w:r>
      <w:r>
        <w:br/>
      </w:r>
      <w:r w:rsidRPr="07C91734">
        <w:rPr>
          <w:rFonts w:ascii="Times New Roman" w:eastAsia="Times New Roman" w:hAnsi="Times New Roman" w:cs="Times New Roman"/>
        </w:rPr>
        <w:t xml:space="preserve"> Theological Reasoning </w:t>
      </w:r>
      <w:r w:rsidR="76E77172" w:rsidRPr="07C91734">
        <w:rPr>
          <w:rFonts w:ascii="Times New Roman" w:eastAsia="Times New Roman" w:hAnsi="Times New Roman" w:cs="Times New Roman"/>
        </w:rPr>
        <w:t>-</w:t>
      </w:r>
      <w:r w:rsidRPr="07C91734">
        <w:rPr>
          <w:rFonts w:ascii="Times New Roman" w:eastAsia="Times New Roman" w:hAnsi="Times New Roman" w:cs="Times New Roman"/>
        </w:rPr>
        <w:t xml:space="preserve"> </w:t>
      </w:r>
      <w:r w:rsidR="76E77172" w:rsidRPr="07C91734">
        <w:rPr>
          <w:rFonts w:ascii="Times New Roman" w:eastAsia="Times New Roman" w:hAnsi="Times New Roman" w:cs="Times New Roman"/>
        </w:rPr>
        <w:t>Intermediate</w:t>
      </w:r>
    </w:p>
    <w:p w14:paraId="0CDE1896" w14:textId="0E20AB9F" w:rsidR="0898FFC3" w:rsidRPr="007B323E" w:rsidRDefault="0898FFC3" w:rsidP="07C91734">
      <w:p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  <w:color w:val="00000A"/>
        </w:rPr>
        <w:t>Students interpret theological sources and their contexts. They compare perspectives on a teaching, theme, or doctrine.</w:t>
      </w:r>
      <w:r w:rsidRPr="07C91734">
        <w:rPr>
          <w:rFonts w:ascii="Times New Roman" w:eastAsia="Times New Roman" w:hAnsi="Times New Roman" w:cs="Times New Roman"/>
        </w:rPr>
        <w:t xml:space="preserve"> </w:t>
      </w:r>
    </w:p>
    <w:p w14:paraId="1272F477" w14:textId="5CF0EC90" w:rsidR="0898FFC3" w:rsidRPr="007B323E" w:rsidRDefault="0898FFC3" w:rsidP="07C91734">
      <w:p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 xml:space="preserve"> </w:t>
      </w:r>
    </w:p>
    <w:p w14:paraId="4557B18C" w14:textId="019516DB" w:rsidR="0898FFC3" w:rsidRPr="007B323E" w:rsidRDefault="511A1DFB" w:rsidP="07C91734">
      <w:pPr>
        <w:jc w:val="center"/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>Metacognition</w:t>
      </w:r>
      <w:r w:rsidR="0898FFC3" w:rsidRPr="07C91734">
        <w:rPr>
          <w:rFonts w:ascii="Times New Roman" w:eastAsia="Times New Roman" w:hAnsi="Times New Roman" w:cs="Times New Roman"/>
        </w:rPr>
        <w:t xml:space="preserve"> </w:t>
      </w:r>
      <w:r w:rsidR="7FCA7C7D" w:rsidRPr="07C91734">
        <w:rPr>
          <w:rFonts w:ascii="Times New Roman" w:eastAsia="Times New Roman" w:hAnsi="Times New Roman" w:cs="Times New Roman"/>
        </w:rPr>
        <w:t>- Intermediate</w:t>
      </w:r>
      <w:r w:rsidR="0898FFC3" w:rsidRPr="07C91734">
        <w:rPr>
          <w:rFonts w:ascii="Times New Roman" w:eastAsia="Times New Roman" w:hAnsi="Times New Roman" w:cs="Times New Roman"/>
        </w:rPr>
        <w:t xml:space="preserve"> </w:t>
      </w:r>
    </w:p>
    <w:p w14:paraId="066EBBB7" w14:textId="0BFCB8B6" w:rsidR="38A8AEFE" w:rsidRDefault="38A8AEFE" w:rsidP="07C91734">
      <w:p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 xml:space="preserve">Students reflect on the weaknesses and strengths of their intellectual abilities and dispositions, effectiveness of their </w:t>
      </w:r>
      <w:proofErr w:type="gramStart"/>
      <w:r w:rsidRPr="07C91734">
        <w:rPr>
          <w:rFonts w:ascii="Times New Roman" w:eastAsia="Times New Roman" w:hAnsi="Times New Roman" w:cs="Times New Roman"/>
        </w:rPr>
        <w:t>problem solving</w:t>
      </w:r>
      <w:proofErr w:type="gramEnd"/>
      <w:r w:rsidRPr="07C91734">
        <w:rPr>
          <w:rFonts w:ascii="Times New Roman" w:eastAsia="Times New Roman" w:hAnsi="Times New Roman" w:cs="Times New Roman"/>
        </w:rPr>
        <w:t xml:space="preserve"> processes, and efficiencies of their learning strategies.</w:t>
      </w:r>
    </w:p>
    <w:p w14:paraId="45DCE9F8" w14:textId="3FA606F5" w:rsidR="07C91734" w:rsidRDefault="07C91734" w:rsidP="07C91734">
      <w:pPr>
        <w:pStyle w:val="paragraph"/>
        <w:spacing w:before="0" w:beforeAutospacing="0" w:after="0" w:afterAutospacing="0"/>
        <w:jc w:val="both"/>
      </w:pPr>
    </w:p>
    <w:p w14:paraId="16C69778" w14:textId="4BA28E98" w:rsidR="004A2FDB" w:rsidRPr="007B323E" w:rsidRDefault="004A2FDB" w:rsidP="07C91734">
      <w:pPr>
        <w:pStyle w:val="paragraph"/>
        <w:spacing w:before="0" w:beforeAutospacing="0" w:after="0" w:afterAutospacing="0"/>
        <w:jc w:val="both"/>
        <w:rPr>
          <w:b/>
          <w:bCs/>
          <w:u w:val="single"/>
        </w:rPr>
      </w:pPr>
    </w:p>
    <w:p w14:paraId="6221F92B" w14:textId="77777777" w:rsidR="005E23FB" w:rsidRPr="007B323E" w:rsidRDefault="005E23FB" w:rsidP="07C91734">
      <w:pP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7C91734">
        <w:rPr>
          <w:rFonts w:ascii="Times New Roman" w:eastAsia="Times New Roman" w:hAnsi="Times New Roman" w:cs="Times New Roman"/>
          <w:color w:val="000000" w:themeColor="text1"/>
        </w:rPr>
        <w:t xml:space="preserve">Click </w:t>
      </w:r>
      <w:hyperlink r:id="rId11">
        <w:r w:rsidRPr="07C91734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here</w:t>
        </w:r>
      </w:hyperlink>
      <w:r w:rsidRPr="07C91734">
        <w:rPr>
          <w:rFonts w:ascii="Times New Roman" w:eastAsia="Times New Roman" w:hAnsi="Times New Roman" w:cs="Times New Roman"/>
          <w:color w:val="000000" w:themeColor="text1"/>
        </w:rPr>
        <w:t xml:space="preserve"> for a full list of scaffolded learning outcome </w:t>
      </w:r>
    </w:p>
    <w:p w14:paraId="364545BF" w14:textId="77777777" w:rsidR="00F7605D" w:rsidRPr="007B323E" w:rsidRDefault="00F7605D" w:rsidP="07C91734">
      <w:pPr>
        <w:pStyle w:val="paragraph"/>
        <w:spacing w:before="0" w:beforeAutospacing="0" w:after="0" w:afterAutospacing="0"/>
        <w:jc w:val="both"/>
        <w:rPr>
          <w:b/>
          <w:bCs/>
          <w:u w:val="single"/>
        </w:rPr>
      </w:pPr>
    </w:p>
    <w:p w14:paraId="2E066A26" w14:textId="77777777" w:rsidR="004A2FDB" w:rsidRPr="007B323E" w:rsidRDefault="004A2FDB" w:rsidP="07C91734">
      <w:pPr>
        <w:pStyle w:val="paragraph"/>
        <w:spacing w:before="0" w:beforeAutospacing="0" w:after="0" w:afterAutospacing="0"/>
        <w:jc w:val="both"/>
        <w:rPr>
          <w:b/>
          <w:bCs/>
          <w:u w:val="single"/>
        </w:rPr>
      </w:pPr>
    </w:p>
    <w:p w14:paraId="46560CB4" w14:textId="583E9825" w:rsidR="6470B2CF" w:rsidRPr="007B323E" w:rsidRDefault="6470B2CF" w:rsidP="07C91734">
      <w:pPr>
        <w:pStyle w:val="paragraph"/>
        <w:spacing w:before="0" w:beforeAutospacing="0" w:after="0" w:afterAutospacing="0"/>
        <w:jc w:val="both"/>
        <w:rPr>
          <w:b/>
          <w:bCs/>
          <w:u w:val="single"/>
        </w:rPr>
      </w:pPr>
      <w:r w:rsidRPr="07C91734">
        <w:rPr>
          <w:b/>
          <w:bCs/>
          <w:u w:val="single"/>
        </w:rPr>
        <w:t>Curriculum Guidelines</w:t>
      </w:r>
      <w:r w:rsidR="001C5F20" w:rsidRPr="07C91734">
        <w:rPr>
          <w:b/>
          <w:bCs/>
          <w:u w:val="single"/>
        </w:rPr>
        <w:t xml:space="preserve"> for Theological Integrations</w:t>
      </w:r>
    </w:p>
    <w:p w14:paraId="06C229C2" w14:textId="25240709" w:rsidR="3FF42652" w:rsidRPr="007B323E" w:rsidRDefault="3FF42652" w:rsidP="07C91734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color w:val="000000" w:themeColor="text1"/>
        </w:rPr>
      </w:pPr>
      <w:r w:rsidRPr="07C91734">
        <w:rPr>
          <w:rStyle w:val="eop"/>
        </w:rPr>
        <w:t>Theological Explorations is a prerequisite</w:t>
      </w:r>
    </w:p>
    <w:p w14:paraId="6B5DD3C3" w14:textId="13203E7E" w:rsidR="3FF42652" w:rsidRPr="007B323E" w:rsidRDefault="3FF42652" w:rsidP="07C91734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color w:val="000000" w:themeColor="text1"/>
        </w:rPr>
      </w:pPr>
      <w:r w:rsidRPr="07C91734">
        <w:rPr>
          <w:rStyle w:val="eop"/>
        </w:rPr>
        <w:t>Theological Integrations</w:t>
      </w:r>
      <w:r w:rsidRPr="07C91734">
        <w:rPr>
          <w:rStyle w:val="normaltextrun"/>
          <w:color w:val="000000" w:themeColor="text1"/>
        </w:rPr>
        <w:t xml:space="preserve"> </w:t>
      </w:r>
      <w:r w:rsidR="7739D0A2" w:rsidRPr="07C91734">
        <w:rPr>
          <w:rStyle w:val="normaltextrun"/>
          <w:color w:val="000000" w:themeColor="text1"/>
        </w:rPr>
        <w:t>courses must be</w:t>
      </w:r>
      <w:r w:rsidRPr="07C91734">
        <w:rPr>
          <w:rStyle w:val="normaltextrun"/>
          <w:color w:val="000000" w:themeColor="text1"/>
        </w:rPr>
        <w:t xml:space="preserve"> a 300-level course</w:t>
      </w:r>
    </w:p>
    <w:p w14:paraId="57211D91" w14:textId="2CE3EFE2" w:rsidR="300AB344" w:rsidRPr="007B323E" w:rsidRDefault="300AB344" w:rsidP="07C91734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color w:val="000000" w:themeColor="text1"/>
        </w:rPr>
      </w:pPr>
      <w:r w:rsidRPr="07C91734">
        <w:rPr>
          <w:rStyle w:val="eop"/>
        </w:rPr>
        <w:t>Theological Integrations courses can be taught in any department</w:t>
      </w:r>
    </w:p>
    <w:p w14:paraId="4F5B5896" w14:textId="6210F130" w:rsidR="3FF42652" w:rsidRPr="007B323E" w:rsidRDefault="3FF42652" w:rsidP="07C91734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color w:val="000000" w:themeColor="text1"/>
        </w:rPr>
      </w:pPr>
      <w:r w:rsidRPr="07C91734">
        <w:t>Theological Integrations courses cannot be designated as</w:t>
      </w:r>
    </w:p>
    <w:p w14:paraId="3CBBE3B6" w14:textId="35862152" w:rsidR="3FF42652" w:rsidRPr="007B323E" w:rsidRDefault="3FF42652" w:rsidP="07C9173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>A Cultural and Social Difference: Identity (CSD 1) or A Cultural and Social Difference: Systems (CSD 2) OR</w:t>
      </w:r>
    </w:p>
    <w:p w14:paraId="468DF2E2" w14:textId="08128472" w:rsidR="3FF42652" w:rsidRPr="007B323E" w:rsidRDefault="3FF42652" w:rsidP="07C9173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>A Way of Thinking, OR</w:t>
      </w:r>
    </w:p>
    <w:p w14:paraId="4D7593CD" w14:textId="529A3EBE" w:rsidR="71A8D2D1" w:rsidRPr="007B323E" w:rsidRDefault="71A8D2D1" w:rsidP="07C9173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>Learning</w:t>
      </w:r>
      <w:r w:rsidR="3FF42652" w:rsidRPr="07C91734">
        <w:rPr>
          <w:rFonts w:ascii="Times New Roman" w:eastAsia="Times New Roman" w:hAnsi="Times New Roman" w:cs="Times New Roman"/>
        </w:rPr>
        <w:t xml:space="preserve"> Foundations, </w:t>
      </w:r>
      <w:r w:rsidR="0B5E9011" w:rsidRPr="07C91734">
        <w:rPr>
          <w:rFonts w:ascii="Times New Roman" w:eastAsia="Times New Roman" w:hAnsi="Times New Roman" w:cs="Times New Roman"/>
        </w:rPr>
        <w:t>Learning</w:t>
      </w:r>
      <w:r w:rsidR="0D3C32DA" w:rsidRPr="07C91734">
        <w:rPr>
          <w:rFonts w:ascii="Times New Roman" w:eastAsia="Times New Roman" w:hAnsi="Times New Roman" w:cs="Times New Roman"/>
        </w:rPr>
        <w:t xml:space="preserve"> </w:t>
      </w:r>
      <w:r w:rsidR="3FF42652" w:rsidRPr="07C91734">
        <w:rPr>
          <w:rFonts w:ascii="Times New Roman" w:eastAsia="Times New Roman" w:hAnsi="Times New Roman" w:cs="Times New Roman"/>
        </w:rPr>
        <w:t xml:space="preserve">Explorations, or </w:t>
      </w:r>
      <w:r w:rsidR="72329D20" w:rsidRPr="07C91734">
        <w:rPr>
          <w:rFonts w:ascii="Times New Roman" w:eastAsia="Times New Roman" w:hAnsi="Times New Roman" w:cs="Times New Roman"/>
        </w:rPr>
        <w:t xml:space="preserve">Learning </w:t>
      </w:r>
      <w:r w:rsidR="3FF42652" w:rsidRPr="07C91734">
        <w:rPr>
          <w:rFonts w:ascii="Times New Roman" w:eastAsia="Times New Roman" w:hAnsi="Times New Roman" w:cs="Times New Roman"/>
        </w:rPr>
        <w:t>Integrations.</w:t>
      </w:r>
    </w:p>
    <w:p w14:paraId="43E1B4E5" w14:textId="6DC4A2CA" w:rsidR="5DF3246C" w:rsidRPr="007B323E" w:rsidRDefault="5DF3246C" w:rsidP="07C9173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lastRenderedPageBreak/>
        <w:t>Theological Integrations courses can also carry an Engagement designation</w:t>
      </w:r>
      <w:r w:rsidR="799439ED" w:rsidRPr="07C91734">
        <w:rPr>
          <w:rFonts w:ascii="Times New Roman" w:eastAsia="Times New Roman" w:hAnsi="Times New Roman" w:cs="Times New Roman"/>
        </w:rPr>
        <w:t>,</w:t>
      </w:r>
      <w:r w:rsidRPr="07C91734">
        <w:rPr>
          <w:rFonts w:ascii="Times New Roman" w:eastAsia="Times New Roman" w:hAnsi="Times New Roman" w:cs="Times New Roman"/>
        </w:rPr>
        <w:t xml:space="preserve"> except for the Benedictine Raven engagement.</w:t>
      </w:r>
    </w:p>
    <w:p w14:paraId="41732617" w14:textId="77777777" w:rsidR="00C03F41" w:rsidRPr="007B323E" w:rsidRDefault="00C03F41" w:rsidP="07C91734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14:paraId="752D2E88" w14:textId="30273E67" w:rsidR="002E2C55" w:rsidRPr="007B323E" w:rsidRDefault="6D5DBAAD" w:rsidP="07C9173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  <w:r w:rsidRPr="07C91734">
        <w:rPr>
          <w:rStyle w:val="eop"/>
          <w:b/>
          <w:bCs/>
          <w:u w:val="single"/>
        </w:rPr>
        <w:t>Teaching Guidelines</w:t>
      </w:r>
    </w:p>
    <w:p w14:paraId="04138363" w14:textId="77777777" w:rsidR="002E2C55" w:rsidRPr="007B323E" w:rsidRDefault="002E2C55" w:rsidP="07C91734">
      <w:pPr>
        <w:pStyle w:val="paragraph"/>
        <w:spacing w:before="0" w:beforeAutospacing="0" w:after="0" w:afterAutospacing="0"/>
        <w:ind w:left="360"/>
        <w:textAlignment w:val="baseline"/>
      </w:pPr>
      <w:r w:rsidRPr="07C91734">
        <w:rPr>
          <w:rStyle w:val="eop"/>
        </w:rPr>
        <w:t> </w:t>
      </w:r>
    </w:p>
    <w:p w14:paraId="62E50CC2" w14:textId="0B9AF2A2" w:rsidR="007B323E" w:rsidRPr="007B323E" w:rsidRDefault="007B323E" w:rsidP="07C9173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7C91734">
        <w:rPr>
          <w:rFonts w:ascii="Times New Roman" w:eastAsia="Times New Roman" w:hAnsi="Times New Roman" w:cs="Times New Roman"/>
        </w:rPr>
        <w:t xml:space="preserve">In the Religious Engagement - Intermediate Learning goal, students analyze forms of religious engagement by drawing on sources that may come from a range of academic disciplines. </w:t>
      </w:r>
    </w:p>
    <w:p w14:paraId="7EFA3660" w14:textId="3EE301A7" w:rsidR="007B323E" w:rsidRPr="007B323E" w:rsidRDefault="002E2C55" w:rsidP="07C91734">
      <w:pPr>
        <w:pStyle w:val="ListParagraph"/>
        <w:numPr>
          <w:ilvl w:val="1"/>
          <w:numId w:val="14"/>
        </w:numPr>
        <w:rPr>
          <w:rStyle w:val="scxw55008030"/>
          <w:rFonts w:ascii="Times New Roman" w:eastAsia="Times New Roman" w:hAnsi="Times New Roman" w:cs="Times New Roman"/>
        </w:rPr>
      </w:pPr>
      <w:r w:rsidRPr="07C91734">
        <w:rPr>
          <w:rStyle w:val="normaltextrun"/>
          <w:rFonts w:ascii="Times New Roman" w:eastAsia="Times New Roman" w:hAnsi="Times New Roman" w:cs="Times New Roman"/>
        </w:rPr>
        <w:t xml:space="preserve">This course moves students from an identification of one or more forms of religious engagement with society to an </w:t>
      </w:r>
      <w:r w:rsidRPr="07C91734">
        <w:rPr>
          <w:rStyle w:val="normaltextrun"/>
          <w:rFonts w:ascii="Times New Roman" w:eastAsia="Times New Roman" w:hAnsi="Times New Roman" w:cs="Times New Roman"/>
          <w:i/>
          <w:iCs/>
        </w:rPr>
        <w:t>analysis</w:t>
      </w:r>
      <w:r w:rsidRPr="07C91734">
        <w:rPr>
          <w:rStyle w:val="normaltextrun"/>
          <w:rFonts w:ascii="Times New Roman" w:eastAsia="Times New Roman" w:hAnsi="Times New Roman" w:cs="Times New Roman"/>
        </w:rPr>
        <w:t xml:space="preserve"> of forms of religious engagement</w:t>
      </w:r>
      <w:r w:rsidR="007B323E" w:rsidRPr="07C91734">
        <w:rPr>
          <w:rStyle w:val="normaltextrun"/>
          <w:rFonts w:ascii="Times New Roman" w:eastAsia="Times New Roman" w:hAnsi="Times New Roman" w:cs="Times New Roman"/>
        </w:rPr>
        <w:t>.</w:t>
      </w:r>
    </w:p>
    <w:p w14:paraId="4C4F8A97" w14:textId="77777777" w:rsidR="007B323E" w:rsidRPr="007B323E" w:rsidRDefault="007B323E" w:rsidP="07C91734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</w:rPr>
      </w:pPr>
      <w:r w:rsidRPr="07C91734">
        <w:rPr>
          <w:rStyle w:val="normaltextrun"/>
          <w:color w:val="000000" w:themeColor="text1"/>
        </w:rPr>
        <w:t xml:space="preserve">As stated in the learning goal, examples of religious engagement must be drawn from at least one </w:t>
      </w:r>
      <w:proofErr w:type="gramStart"/>
      <w:r w:rsidRPr="07C91734">
        <w:rPr>
          <w:rStyle w:val="normaltextrun"/>
          <w:color w:val="000000" w:themeColor="text1"/>
        </w:rPr>
        <w:t>discipline, but</w:t>
      </w:r>
      <w:proofErr w:type="gramEnd"/>
      <w:r w:rsidRPr="07C91734">
        <w:rPr>
          <w:rStyle w:val="normaltextrun"/>
          <w:color w:val="000000" w:themeColor="text1"/>
        </w:rPr>
        <w:t xml:space="preserve"> can draw</w:t>
      </w:r>
      <w:r w:rsidRPr="07C91734">
        <w:rPr>
          <w:rStyle w:val="apple-converted-space"/>
          <w:color w:val="000000" w:themeColor="text1"/>
        </w:rPr>
        <w:t> </w:t>
      </w:r>
      <w:r w:rsidRPr="07C91734">
        <w:rPr>
          <w:rStyle w:val="normaltextrun"/>
          <w:color w:val="000000" w:themeColor="text1"/>
        </w:rPr>
        <w:t>from</w:t>
      </w:r>
      <w:r w:rsidRPr="07C91734">
        <w:rPr>
          <w:rStyle w:val="apple-converted-space"/>
          <w:color w:val="000000" w:themeColor="text1"/>
        </w:rPr>
        <w:t> </w:t>
      </w:r>
      <w:r w:rsidRPr="07C91734">
        <w:rPr>
          <w:rStyle w:val="normaltextrun"/>
          <w:color w:val="000000" w:themeColor="text1"/>
        </w:rPr>
        <w:t>sources that come from a range of academic disciplines.</w:t>
      </w:r>
    </w:p>
    <w:p w14:paraId="245D9C19" w14:textId="77777777" w:rsidR="007B323E" w:rsidRPr="007B323E" w:rsidRDefault="00E42E6D" w:rsidP="07C91734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apple-converted-space"/>
        </w:rPr>
      </w:pPr>
      <w:r w:rsidRPr="07C91734">
        <w:rPr>
          <w:rStyle w:val="normaltextrun"/>
        </w:rPr>
        <w:t>Religious engagement implies how religious persons engage society religiously or how religious beliefs and practices inform persons’ social actions. Thus, it is not simply a matter of religious engagement within a</w:t>
      </w:r>
      <w:r w:rsidRPr="07C91734">
        <w:rPr>
          <w:rStyle w:val="apple-converted-space"/>
        </w:rPr>
        <w:t> </w:t>
      </w:r>
      <w:r w:rsidRPr="07C91734">
        <w:rPr>
          <w:rStyle w:val="advancedproofingissue"/>
        </w:rPr>
        <w:t>particular faith</w:t>
      </w:r>
      <w:r w:rsidRPr="07C91734">
        <w:rPr>
          <w:rStyle w:val="apple-converted-space"/>
        </w:rPr>
        <w:t> </w:t>
      </w:r>
      <w:r w:rsidRPr="07C91734">
        <w:rPr>
          <w:rStyle w:val="normaltextrun"/>
        </w:rPr>
        <w:t>community, but the implications of that engagement for society [which may include persons also beyond that community].</w:t>
      </w:r>
      <w:r w:rsidRPr="07C91734">
        <w:rPr>
          <w:rStyle w:val="apple-converted-space"/>
          <w:color w:val="000000" w:themeColor="text1"/>
        </w:rPr>
        <w:t> </w:t>
      </w:r>
    </w:p>
    <w:p w14:paraId="70B2CE99" w14:textId="77777777" w:rsidR="007B323E" w:rsidRDefault="007B323E" w:rsidP="07C91734">
      <w:pPr>
        <w:pStyle w:val="paragraph"/>
        <w:spacing w:before="0" w:beforeAutospacing="0" w:after="0" w:afterAutospacing="0"/>
        <w:textAlignment w:val="baseline"/>
        <w:rPr>
          <w:rStyle w:val="apple-converted-space"/>
          <w:color w:val="000000" w:themeColor="text1"/>
        </w:rPr>
      </w:pPr>
    </w:p>
    <w:p w14:paraId="0B09E1B2" w14:textId="77777777" w:rsidR="007B323E" w:rsidRPr="007B323E" w:rsidRDefault="007B323E" w:rsidP="07C9173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7C91734">
        <w:rPr>
          <w:rStyle w:val="apple-converted-space"/>
          <w:color w:val="000000" w:themeColor="text1"/>
        </w:rPr>
        <w:t xml:space="preserve">In the </w:t>
      </w:r>
      <w:r w:rsidRPr="07C91734">
        <w:t>Theological Reasoning – Intermediate Learning goal, s</w:t>
      </w:r>
      <w:r w:rsidRPr="07C91734">
        <w:rPr>
          <w:color w:val="00000A"/>
        </w:rPr>
        <w:t xml:space="preserve">tudents interpret theological sources and their contexts. </w:t>
      </w:r>
    </w:p>
    <w:p w14:paraId="632A45EF" w14:textId="4DA6975E" w:rsidR="007B323E" w:rsidRPr="007B323E" w:rsidRDefault="007B323E" w:rsidP="07C9173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</w:pPr>
      <w:r w:rsidRPr="07C91734">
        <w:rPr>
          <w:rStyle w:val="normaltextrun"/>
        </w:rPr>
        <w:t xml:space="preserve">This course moves students from the identification of theological sources to an </w:t>
      </w:r>
      <w:r w:rsidRPr="07C91734">
        <w:rPr>
          <w:rStyle w:val="normaltextrun"/>
          <w:i/>
          <w:iCs/>
        </w:rPr>
        <w:t>interpretation</w:t>
      </w:r>
      <w:r w:rsidRPr="07C91734">
        <w:rPr>
          <w:rStyle w:val="normaltextrun"/>
        </w:rPr>
        <w:t xml:space="preserve"> of theological sources.</w:t>
      </w:r>
      <w:r w:rsidRPr="07C91734">
        <w:rPr>
          <w:rStyle w:val="apple-converted-space"/>
        </w:rPr>
        <w:t> </w:t>
      </w:r>
      <w:r w:rsidRPr="07C91734">
        <w:rPr>
          <w:rStyle w:val="scxw55008030"/>
        </w:rPr>
        <w:t> </w:t>
      </w:r>
    </w:p>
    <w:p w14:paraId="247C0B64" w14:textId="77777777" w:rsidR="007B323E" w:rsidRPr="007B323E" w:rsidRDefault="007B323E" w:rsidP="07C9173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apple-converted-space"/>
        </w:rPr>
      </w:pPr>
      <w:r w:rsidRPr="07C91734">
        <w:rPr>
          <w:rStyle w:val="normaltextrun"/>
          <w:color w:val="000000" w:themeColor="text1"/>
        </w:rPr>
        <w:t>As stated in the beginner Theological Reasoning learning objective, theological sources, which</w:t>
      </w:r>
      <w:r w:rsidRPr="07C91734">
        <w:rPr>
          <w:rStyle w:val="apple-converted-space"/>
          <w:color w:val="000000" w:themeColor="text1"/>
        </w:rPr>
        <w:t> </w:t>
      </w:r>
      <w:r w:rsidRPr="07C91734">
        <w:rPr>
          <w:rStyle w:val="normaltextrun"/>
          <w:color w:val="000007"/>
        </w:rPr>
        <w:t>may include scripture, practices, texts, or art forms, explain a theological teaching, doctrine, or theme.</w:t>
      </w:r>
      <w:r w:rsidRPr="07C91734">
        <w:rPr>
          <w:rStyle w:val="apple-converted-space"/>
          <w:color w:val="000007"/>
        </w:rPr>
        <w:t> </w:t>
      </w:r>
    </w:p>
    <w:p w14:paraId="73B5D9C1" w14:textId="77777777" w:rsidR="007B323E" w:rsidRPr="007B323E" w:rsidRDefault="007B323E" w:rsidP="07C9173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</w:rPr>
      </w:pPr>
      <w:r w:rsidRPr="07C91734">
        <w:rPr>
          <w:rStyle w:val="normaltextrun"/>
          <w:color w:val="000000" w:themeColor="text1"/>
        </w:rPr>
        <w:t>Thus, these sources emerge from and operate within a</w:t>
      </w:r>
      <w:r w:rsidRPr="07C91734">
        <w:rPr>
          <w:rStyle w:val="apple-converted-space"/>
          <w:color w:val="000000" w:themeColor="text1"/>
        </w:rPr>
        <w:t> </w:t>
      </w:r>
      <w:r w:rsidRPr="07C91734">
        <w:rPr>
          <w:rStyle w:val="advancedproofingissue"/>
          <w:color w:val="000000" w:themeColor="text1"/>
        </w:rPr>
        <w:t>particular religious</w:t>
      </w:r>
      <w:r w:rsidRPr="07C91734">
        <w:rPr>
          <w:rStyle w:val="apple-converted-space"/>
          <w:color w:val="000000" w:themeColor="text1"/>
        </w:rPr>
        <w:t> </w:t>
      </w:r>
      <w:r w:rsidRPr="07C91734">
        <w:rPr>
          <w:rStyle w:val="normaltextrun"/>
          <w:color w:val="000000" w:themeColor="text1"/>
        </w:rPr>
        <w:t xml:space="preserve">community and aid that community in understanding its normative truth claims and values; students will study sources in the context in which they were produced.  </w:t>
      </w:r>
    </w:p>
    <w:p w14:paraId="30D45ABA" w14:textId="77777777" w:rsidR="007B323E" w:rsidRPr="007B323E" w:rsidRDefault="007B323E" w:rsidP="07C9173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</w:rPr>
      </w:pPr>
      <w:r w:rsidRPr="07C91734">
        <w:rPr>
          <w:rStyle w:val="normaltextrun"/>
          <w:color w:val="000000" w:themeColor="text1"/>
        </w:rPr>
        <w:t xml:space="preserve">Students will also compare multiple perspectives on theological teachings, themes, or doctrines.  </w:t>
      </w:r>
    </w:p>
    <w:p w14:paraId="47650E7F" w14:textId="77777777" w:rsidR="007B323E" w:rsidRPr="007B323E" w:rsidRDefault="007B323E" w:rsidP="07C91734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normaltextrun"/>
        </w:rPr>
      </w:pPr>
      <w:r w:rsidRPr="07C91734">
        <w:rPr>
          <w:rStyle w:val="normaltextrun"/>
          <w:color w:val="000000" w:themeColor="text1"/>
        </w:rPr>
        <w:t xml:space="preserve">For example, a student might be asked to compare different authors' perspective on the same theological theme or compare different faith traditions' teachings on a topic. </w:t>
      </w:r>
    </w:p>
    <w:p w14:paraId="71C485F2" w14:textId="5DA96A6F" w:rsidR="007B323E" w:rsidRPr="007B323E" w:rsidRDefault="007B323E" w:rsidP="07C91734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eop"/>
        </w:rPr>
      </w:pPr>
      <w:r w:rsidRPr="07C91734">
        <w:rPr>
          <w:rStyle w:val="normaltextrun"/>
          <w:color w:val="000000" w:themeColor="text1"/>
        </w:rPr>
        <w:t>Although etymologically theology would seem to concern strictly theistic religions, as a reasoned discipline making sense of truth and value, theology can (and does) include non-theistic religions as well.</w:t>
      </w:r>
      <w:r w:rsidRPr="07C91734">
        <w:rPr>
          <w:rStyle w:val="eop"/>
        </w:rPr>
        <w:t> </w:t>
      </w:r>
    </w:p>
    <w:p w14:paraId="1C1B4006" w14:textId="598D53B9" w:rsidR="006636B5" w:rsidRPr="007B323E" w:rsidRDefault="55460E47" w:rsidP="07C9173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</w:rPr>
      </w:pPr>
      <w:r w:rsidRPr="07C91734">
        <w:rPr>
          <w:rStyle w:val="normaltextrun"/>
          <w:color w:val="000000" w:themeColor="text1"/>
        </w:rPr>
        <w:t xml:space="preserve">Metacognition – Intermediate Learning Outcome </w:t>
      </w:r>
    </w:p>
    <w:p w14:paraId="1303C83A" w14:textId="752A6C97" w:rsidR="006636B5" w:rsidRPr="007B323E" w:rsidRDefault="55460E47" w:rsidP="1729369E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</w:pPr>
      <w:r w:rsidRPr="1729369E">
        <w:rPr>
          <w:rStyle w:val="normaltextrun"/>
          <w:color w:val="000000" w:themeColor="text1"/>
        </w:rPr>
        <w:t xml:space="preserve">The purpose of the metacognition learning goal is to encourage students to be more reflective about their learning process and strategies. The intermediate metacognition goal, which is assessed in </w:t>
      </w:r>
      <w:r w:rsidR="3761FE44" w:rsidRPr="1729369E">
        <w:rPr>
          <w:rStyle w:val="normaltextrun"/>
          <w:color w:val="000000" w:themeColor="text1"/>
        </w:rPr>
        <w:t>the Theological Integrations course</w:t>
      </w:r>
      <w:r w:rsidRPr="1729369E">
        <w:rPr>
          <w:rStyle w:val="normaltextrun"/>
          <w:color w:val="000000" w:themeColor="text1"/>
        </w:rPr>
        <w:t>, asks students to move from identification of, to reflection on their own learning and problem-solving processes, including an assessment of their strengths and weaknesses.</w:t>
      </w:r>
    </w:p>
    <w:p w14:paraId="36D5A2EE" w14:textId="13B99A7B" w:rsidR="006636B5" w:rsidRPr="007B323E" w:rsidRDefault="55460E47" w:rsidP="07C91734">
      <w:pPr>
        <w:pStyle w:val="ListParagraph"/>
        <w:numPr>
          <w:ilvl w:val="1"/>
          <w:numId w:val="16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1729369E">
        <w:rPr>
          <w:rStyle w:val="apple-converted-space"/>
          <w:rFonts w:ascii="Times New Roman" w:eastAsia="Times New Roman" w:hAnsi="Times New Roman" w:cs="Times New Roman"/>
          <w:color w:val="000000" w:themeColor="text1"/>
        </w:rPr>
        <w:lastRenderedPageBreak/>
        <w:t> For instance, after receiving feedback on an assignment, project, performance, presentation, etc., an instructor might ask students to complete a written reflection on how to enhance their academic performance that </w:t>
      </w:r>
      <w:proofErr w:type="gramStart"/>
      <w:r w:rsidRPr="1729369E">
        <w:rPr>
          <w:rStyle w:val="apple-converted-space"/>
          <w:rFonts w:ascii="Times New Roman" w:eastAsia="Times New Roman" w:hAnsi="Times New Roman" w:cs="Times New Roman"/>
          <w:color w:val="000000" w:themeColor="text1"/>
        </w:rPr>
        <w:t>takes into account</w:t>
      </w:r>
      <w:proofErr w:type="gramEnd"/>
      <w:r w:rsidRPr="1729369E">
        <w:rPr>
          <w:rStyle w:val="apple-converted-space"/>
          <w:rFonts w:ascii="Times New Roman" w:eastAsia="Times New Roman" w:hAnsi="Times New Roman" w:cs="Times New Roman"/>
          <w:color w:val="000000" w:themeColor="text1"/>
        </w:rPr>
        <w:t> study skills, critical analysis, and personal best practices. </w:t>
      </w:r>
    </w:p>
    <w:p w14:paraId="0F7B5817" w14:textId="62452242" w:rsidR="006636B5" w:rsidRPr="007B323E" w:rsidRDefault="55460E47" w:rsidP="1729369E">
      <w:pPr>
        <w:pStyle w:val="paragraph"/>
        <w:numPr>
          <w:ilvl w:val="1"/>
          <w:numId w:val="16"/>
        </w:numPr>
        <w:spacing w:before="0" w:beforeAutospacing="0" w:after="0" w:afterAutospacing="0"/>
        <w:rPr>
          <w:color w:val="000000" w:themeColor="text1"/>
        </w:rPr>
      </w:pPr>
      <w:r w:rsidRPr="1729369E">
        <w:rPr>
          <w:color w:val="000000" w:themeColor="text1"/>
        </w:rPr>
        <w:t xml:space="preserve">Assessment of the Metacognition- Intermediate learning outcome will be achieved via a DEAL reflection placed in the student’s Integrated Portfolio. We encourage instructors who apply for a </w:t>
      </w:r>
      <w:r w:rsidR="5AEF83FC" w:rsidRPr="1729369E">
        <w:rPr>
          <w:color w:val="000000" w:themeColor="text1"/>
        </w:rPr>
        <w:t>TI</w:t>
      </w:r>
      <w:r w:rsidRPr="1729369E">
        <w:rPr>
          <w:color w:val="000000" w:themeColor="text1"/>
        </w:rPr>
        <w:t xml:space="preserve"> designation to look at the faculty development resources/workshops that have been provided. We also encourage faculty to attend future workshops related to these learning goals. Please check the </w:t>
      </w:r>
      <w:hyperlink r:id="rId12">
        <w:r w:rsidRPr="1729369E">
          <w:rPr>
            <w:rStyle w:val="Hyperlink"/>
          </w:rPr>
          <w:t>Integrations Curriculum Faculty Resources page</w:t>
        </w:r>
      </w:hyperlink>
      <w:r w:rsidRPr="1729369E">
        <w:rPr>
          <w:color w:val="000000" w:themeColor="text1"/>
        </w:rPr>
        <w:t xml:space="preserve"> for updates.</w:t>
      </w:r>
    </w:p>
    <w:sectPr w:rsidR="006636B5" w:rsidRPr="007B323E" w:rsidSect="00AB7874">
      <w:headerReference w:type="default" r:id="rId13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C933" w14:textId="77777777" w:rsidR="004F3313" w:rsidRDefault="004F3313" w:rsidP="004D2E03">
      <w:r>
        <w:separator/>
      </w:r>
    </w:p>
  </w:endnote>
  <w:endnote w:type="continuationSeparator" w:id="0">
    <w:p w14:paraId="5716259E" w14:textId="77777777" w:rsidR="004F3313" w:rsidRDefault="004F3313" w:rsidP="004D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B3C4" w14:textId="77777777" w:rsidR="004F3313" w:rsidRDefault="004F3313" w:rsidP="004D2E03">
      <w:r>
        <w:separator/>
      </w:r>
    </w:p>
  </w:footnote>
  <w:footnote w:type="continuationSeparator" w:id="0">
    <w:p w14:paraId="47F0E742" w14:textId="77777777" w:rsidR="004F3313" w:rsidRDefault="004F3313" w:rsidP="004D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4E87" w14:textId="70DB2429" w:rsidR="004D2E03" w:rsidRPr="004D2E03" w:rsidRDefault="004D2E03" w:rsidP="004D2E03">
    <w:pPr>
      <w:tabs>
        <w:tab w:val="right" w:pos="9342"/>
      </w:tabs>
      <w:spacing w:line="259" w:lineRule="auto"/>
      <w:ind w:right="-22"/>
      <w:rPr>
        <w:rFonts w:ascii="Times New Roman" w:hAnsi="Times New Roman" w:cs="Times New Roman"/>
      </w:rPr>
    </w:pPr>
    <w:r w:rsidRPr="004D2E03">
      <w:rPr>
        <w:rFonts w:ascii="Times New Roman" w:hAnsi="Times New Roman" w:cs="Times New Roman"/>
        <w:sz w:val="22"/>
      </w:rPr>
      <w:t xml:space="preserve">Theological Integrations Teaching Guidelines </w:t>
    </w:r>
    <w:r w:rsidRPr="004D2E03">
      <w:rPr>
        <w:rFonts w:ascii="Times New Roman" w:hAnsi="Times New Roman" w:cs="Times New Roman"/>
        <w:sz w:val="22"/>
      </w:rPr>
      <w:tab/>
    </w:r>
    <w:r w:rsidRPr="004D2E03">
      <w:rPr>
        <w:rFonts w:ascii="Times New Roman" w:hAnsi="Times New Roman" w:cs="Times New Roman"/>
      </w:rPr>
      <w:fldChar w:fldCharType="begin"/>
    </w:r>
    <w:r w:rsidRPr="004D2E03">
      <w:rPr>
        <w:rFonts w:ascii="Times New Roman" w:hAnsi="Times New Roman" w:cs="Times New Roman"/>
      </w:rPr>
      <w:instrText xml:space="preserve"> PAGE   \* MERGEFORMAT </w:instrText>
    </w:r>
    <w:r w:rsidRPr="004D2E03">
      <w:rPr>
        <w:rFonts w:ascii="Times New Roman" w:hAnsi="Times New Roman" w:cs="Times New Roman"/>
      </w:rPr>
      <w:fldChar w:fldCharType="separate"/>
    </w:r>
    <w:r w:rsidRPr="004D2E03">
      <w:rPr>
        <w:rFonts w:ascii="Times New Roman" w:hAnsi="Times New Roman" w:cs="Times New Roman"/>
      </w:rPr>
      <w:t>1</w:t>
    </w:r>
    <w:r w:rsidRPr="004D2E03">
      <w:rPr>
        <w:rFonts w:ascii="Times New Roman" w:hAnsi="Times New Roman" w:cs="Times New Roman"/>
        <w:sz w:val="22"/>
      </w:rPr>
      <w:fldChar w:fldCharType="end"/>
    </w:r>
    <w:r w:rsidRPr="004D2E03">
      <w:rPr>
        <w:rFonts w:ascii="Times New Roman" w:hAnsi="Times New Roman" w:cs="Times New Roman"/>
        <w:sz w:val="22"/>
      </w:rPr>
      <w:t xml:space="preserve"> </w:t>
    </w:r>
  </w:p>
  <w:p w14:paraId="2F2EA928" w14:textId="77777777" w:rsidR="004D2E03" w:rsidRPr="004D2E03" w:rsidRDefault="004D2E0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86"/>
    <w:multiLevelType w:val="hybridMultilevel"/>
    <w:tmpl w:val="BF3E478E"/>
    <w:lvl w:ilvl="0" w:tplc="65EEF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40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62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40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07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C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0E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3B7"/>
    <w:multiLevelType w:val="hybridMultilevel"/>
    <w:tmpl w:val="7AFE08B4"/>
    <w:lvl w:ilvl="0" w:tplc="8496CC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98E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5B67EC6">
      <w:start w:val="1"/>
      <w:numFmt w:val="lowerRoman"/>
      <w:lvlText w:val="%3."/>
      <w:lvlJc w:val="right"/>
      <w:pPr>
        <w:ind w:left="135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1A6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4E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8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0A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2C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D5D57"/>
    <w:multiLevelType w:val="hybridMultilevel"/>
    <w:tmpl w:val="F1AAA918"/>
    <w:lvl w:ilvl="0" w:tplc="09A441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3C6"/>
    <w:multiLevelType w:val="hybridMultilevel"/>
    <w:tmpl w:val="8F46D9B2"/>
    <w:lvl w:ilvl="0" w:tplc="5B2889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1F06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6834C">
      <w:start w:val="1"/>
      <w:numFmt w:val="lowerLetter"/>
      <w:lvlText w:val="%3."/>
      <w:lvlJc w:val="left"/>
      <w:pPr>
        <w:ind w:left="1350" w:hanging="360"/>
      </w:pPr>
      <w:rPr>
        <w:rFonts w:ascii="Times New Roman" w:hAnsi="Times New Roman" w:cs="Times New Roman" w:hint="default"/>
        <w:b w:val="0"/>
      </w:rPr>
    </w:lvl>
    <w:lvl w:ilvl="3" w:tplc="650E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08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89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CB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8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26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44FFD"/>
    <w:multiLevelType w:val="multilevel"/>
    <w:tmpl w:val="C1241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3251C"/>
    <w:multiLevelType w:val="hybridMultilevel"/>
    <w:tmpl w:val="76B2F892"/>
    <w:lvl w:ilvl="0" w:tplc="09A441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F94"/>
    <w:multiLevelType w:val="hybridMultilevel"/>
    <w:tmpl w:val="87229446"/>
    <w:lvl w:ilvl="0" w:tplc="09A441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43BE"/>
    <w:multiLevelType w:val="multilevel"/>
    <w:tmpl w:val="496A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45D3A"/>
    <w:multiLevelType w:val="multilevel"/>
    <w:tmpl w:val="A36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55DC2"/>
    <w:multiLevelType w:val="multilevel"/>
    <w:tmpl w:val="7C30D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50" w:hanging="360"/>
      </w:pPr>
      <w:rPr>
        <w:rFonts w:hint="default"/>
        <w:b w:val="0"/>
      </w:rPr>
    </w:lvl>
    <w:lvl w:ilvl="3">
      <w:start w:val="3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8681A"/>
    <w:multiLevelType w:val="multilevel"/>
    <w:tmpl w:val="1A1AB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A0363"/>
    <w:multiLevelType w:val="hybridMultilevel"/>
    <w:tmpl w:val="499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16F9"/>
    <w:multiLevelType w:val="hybridMultilevel"/>
    <w:tmpl w:val="1F3CBC7A"/>
    <w:lvl w:ilvl="0" w:tplc="1FC08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8FF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54B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8F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6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4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E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A9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82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B61CA"/>
    <w:multiLevelType w:val="hybridMultilevel"/>
    <w:tmpl w:val="6DB8C700"/>
    <w:lvl w:ilvl="0" w:tplc="74FEC788">
      <w:start w:val="1"/>
      <w:numFmt w:val="decimal"/>
      <w:lvlText w:val="%1."/>
      <w:lvlJc w:val="left"/>
      <w:pPr>
        <w:ind w:left="720" w:hanging="360"/>
      </w:pPr>
    </w:lvl>
    <w:lvl w:ilvl="1" w:tplc="D218A23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5509E92">
      <w:start w:val="1"/>
      <w:numFmt w:val="lowerRoman"/>
      <w:lvlText w:val="%3."/>
      <w:lvlJc w:val="right"/>
      <w:pPr>
        <w:ind w:left="2160" w:hanging="180"/>
      </w:pPr>
    </w:lvl>
    <w:lvl w:ilvl="3" w:tplc="F4B42266">
      <w:start w:val="1"/>
      <w:numFmt w:val="decimal"/>
      <w:lvlText w:val="%4."/>
      <w:lvlJc w:val="left"/>
      <w:pPr>
        <w:ind w:left="2880" w:hanging="360"/>
      </w:pPr>
    </w:lvl>
    <w:lvl w:ilvl="4" w:tplc="18DE4FB0">
      <w:start w:val="1"/>
      <w:numFmt w:val="lowerLetter"/>
      <w:lvlText w:val="%5."/>
      <w:lvlJc w:val="left"/>
      <w:pPr>
        <w:ind w:left="3600" w:hanging="360"/>
      </w:pPr>
    </w:lvl>
    <w:lvl w:ilvl="5" w:tplc="80468C6A">
      <w:start w:val="1"/>
      <w:numFmt w:val="lowerRoman"/>
      <w:lvlText w:val="%6."/>
      <w:lvlJc w:val="right"/>
      <w:pPr>
        <w:ind w:left="4320" w:hanging="180"/>
      </w:pPr>
    </w:lvl>
    <w:lvl w:ilvl="6" w:tplc="3402C00A">
      <w:start w:val="1"/>
      <w:numFmt w:val="decimal"/>
      <w:lvlText w:val="%7."/>
      <w:lvlJc w:val="left"/>
      <w:pPr>
        <w:ind w:left="5040" w:hanging="360"/>
      </w:pPr>
    </w:lvl>
    <w:lvl w:ilvl="7" w:tplc="BB148720">
      <w:start w:val="1"/>
      <w:numFmt w:val="lowerLetter"/>
      <w:lvlText w:val="%8."/>
      <w:lvlJc w:val="left"/>
      <w:pPr>
        <w:ind w:left="5760" w:hanging="360"/>
      </w:pPr>
    </w:lvl>
    <w:lvl w:ilvl="8" w:tplc="56207B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0D56"/>
    <w:multiLevelType w:val="hybridMultilevel"/>
    <w:tmpl w:val="65E69FCE"/>
    <w:lvl w:ilvl="0" w:tplc="53069B0A">
      <w:start w:val="1"/>
      <w:numFmt w:val="decimal"/>
      <w:lvlText w:val="%1."/>
      <w:lvlJc w:val="left"/>
      <w:pPr>
        <w:ind w:left="720" w:hanging="360"/>
      </w:pPr>
    </w:lvl>
    <w:lvl w:ilvl="1" w:tplc="57C6B7AC">
      <w:start w:val="1"/>
      <w:numFmt w:val="lowerLetter"/>
      <w:lvlText w:val="%2)"/>
      <w:lvlJc w:val="left"/>
      <w:pPr>
        <w:ind w:left="1800" w:hanging="360"/>
      </w:pPr>
    </w:lvl>
    <w:lvl w:ilvl="2" w:tplc="BFA6EFFE">
      <w:start w:val="1"/>
      <w:numFmt w:val="lowerRoman"/>
      <w:lvlText w:val="%3."/>
      <w:lvlJc w:val="right"/>
      <w:pPr>
        <w:ind w:left="2160" w:hanging="180"/>
      </w:pPr>
    </w:lvl>
    <w:lvl w:ilvl="3" w:tplc="820A3C7C">
      <w:start w:val="1"/>
      <w:numFmt w:val="decimal"/>
      <w:lvlText w:val="%4."/>
      <w:lvlJc w:val="left"/>
      <w:pPr>
        <w:ind w:left="2880" w:hanging="360"/>
      </w:pPr>
    </w:lvl>
    <w:lvl w:ilvl="4" w:tplc="BBC4C65C">
      <w:start w:val="1"/>
      <w:numFmt w:val="lowerLetter"/>
      <w:lvlText w:val="%5."/>
      <w:lvlJc w:val="left"/>
      <w:pPr>
        <w:ind w:left="3600" w:hanging="360"/>
      </w:pPr>
    </w:lvl>
    <w:lvl w:ilvl="5" w:tplc="4E522DBA">
      <w:start w:val="1"/>
      <w:numFmt w:val="lowerRoman"/>
      <w:lvlText w:val="%6."/>
      <w:lvlJc w:val="right"/>
      <w:pPr>
        <w:ind w:left="4320" w:hanging="180"/>
      </w:pPr>
    </w:lvl>
    <w:lvl w:ilvl="6" w:tplc="7C7ABF1E">
      <w:start w:val="1"/>
      <w:numFmt w:val="decimal"/>
      <w:lvlText w:val="%7."/>
      <w:lvlJc w:val="left"/>
      <w:pPr>
        <w:ind w:left="5040" w:hanging="360"/>
      </w:pPr>
    </w:lvl>
    <w:lvl w:ilvl="7" w:tplc="6250FB66">
      <w:start w:val="1"/>
      <w:numFmt w:val="lowerLetter"/>
      <w:lvlText w:val="%8."/>
      <w:lvlJc w:val="left"/>
      <w:pPr>
        <w:ind w:left="5760" w:hanging="360"/>
      </w:pPr>
    </w:lvl>
    <w:lvl w:ilvl="8" w:tplc="FD30CE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52764"/>
    <w:multiLevelType w:val="hybridMultilevel"/>
    <w:tmpl w:val="E3B2B174"/>
    <w:lvl w:ilvl="0" w:tplc="94FAA6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3A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E9F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F242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1AA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A53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E63A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247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F8A7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A2E8B"/>
    <w:multiLevelType w:val="multilevel"/>
    <w:tmpl w:val="E57C5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5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44892"/>
    <w:multiLevelType w:val="hybridMultilevel"/>
    <w:tmpl w:val="83D88D9A"/>
    <w:lvl w:ilvl="0" w:tplc="175EDB0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C01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8F4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8EE7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1E5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E4C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4AA6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6004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E6D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731204">
    <w:abstractNumId w:val="14"/>
  </w:num>
  <w:num w:numId="2" w16cid:durableId="1494100355">
    <w:abstractNumId w:val="12"/>
  </w:num>
  <w:num w:numId="3" w16cid:durableId="2130541172">
    <w:abstractNumId w:val="0"/>
  </w:num>
  <w:num w:numId="4" w16cid:durableId="466361633">
    <w:abstractNumId w:val="13"/>
  </w:num>
  <w:num w:numId="5" w16cid:durableId="321667854">
    <w:abstractNumId w:val="8"/>
  </w:num>
  <w:num w:numId="6" w16cid:durableId="884484618">
    <w:abstractNumId w:val="7"/>
  </w:num>
  <w:num w:numId="7" w16cid:durableId="75370638">
    <w:abstractNumId w:val="15"/>
  </w:num>
  <w:num w:numId="8" w16cid:durableId="617874948">
    <w:abstractNumId w:val="17"/>
  </w:num>
  <w:num w:numId="9" w16cid:durableId="1261138522">
    <w:abstractNumId w:val="3"/>
  </w:num>
  <w:num w:numId="10" w16cid:durableId="1624919474">
    <w:abstractNumId w:val="4"/>
  </w:num>
  <w:num w:numId="11" w16cid:durableId="1833371076">
    <w:abstractNumId w:val="1"/>
  </w:num>
  <w:num w:numId="12" w16cid:durableId="60642286">
    <w:abstractNumId w:val="2"/>
  </w:num>
  <w:num w:numId="13" w16cid:durableId="1743521032">
    <w:abstractNumId w:val="10"/>
  </w:num>
  <w:num w:numId="14" w16cid:durableId="167408642">
    <w:abstractNumId w:val="5"/>
  </w:num>
  <w:num w:numId="15" w16cid:durableId="403915092">
    <w:abstractNumId w:val="6"/>
  </w:num>
  <w:num w:numId="16" w16cid:durableId="669911536">
    <w:abstractNumId w:val="11"/>
  </w:num>
  <w:num w:numId="17" w16cid:durableId="1673531988">
    <w:abstractNumId w:val="16"/>
  </w:num>
  <w:num w:numId="18" w16cid:durableId="1669881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55"/>
    <w:rsid w:val="00054128"/>
    <w:rsid w:val="000753B3"/>
    <w:rsid w:val="00125FDB"/>
    <w:rsid w:val="001B7FA1"/>
    <w:rsid w:val="001C5F20"/>
    <w:rsid w:val="002D1F10"/>
    <w:rsid w:val="002E2C55"/>
    <w:rsid w:val="00325820"/>
    <w:rsid w:val="00335AC3"/>
    <w:rsid w:val="003602EC"/>
    <w:rsid w:val="00397D85"/>
    <w:rsid w:val="004A2FDB"/>
    <w:rsid w:val="004D2E03"/>
    <w:rsid w:val="004F3313"/>
    <w:rsid w:val="0058059C"/>
    <w:rsid w:val="005E23FB"/>
    <w:rsid w:val="00603FFD"/>
    <w:rsid w:val="006636B5"/>
    <w:rsid w:val="0076546C"/>
    <w:rsid w:val="00786569"/>
    <w:rsid w:val="007B323E"/>
    <w:rsid w:val="007D2FE4"/>
    <w:rsid w:val="007D4836"/>
    <w:rsid w:val="00815B2B"/>
    <w:rsid w:val="00885CAF"/>
    <w:rsid w:val="00A12E1C"/>
    <w:rsid w:val="00A95256"/>
    <w:rsid w:val="00AB6A00"/>
    <w:rsid w:val="00AB7874"/>
    <w:rsid w:val="00B27240"/>
    <w:rsid w:val="00C03F41"/>
    <w:rsid w:val="00C142AD"/>
    <w:rsid w:val="00CE2186"/>
    <w:rsid w:val="00E0683C"/>
    <w:rsid w:val="00E13D14"/>
    <w:rsid w:val="00E42E6D"/>
    <w:rsid w:val="00E56242"/>
    <w:rsid w:val="00EF1542"/>
    <w:rsid w:val="00F7605D"/>
    <w:rsid w:val="00F81074"/>
    <w:rsid w:val="01BE08CE"/>
    <w:rsid w:val="01FD03BE"/>
    <w:rsid w:val="020FA5EF"/>
    <w:rsid w:val="067FF895"/>
    <w:rsid w:val="07883C08"/>
    <w:rsid w:val="07892D0C"/>
    <w:rsid w:val="07C91734"/>
    <w:rsid w:val="0898FFC3"/>
    <w:rsid w:val="089D7807"/>
    <w:rsid w:val="0984D167"/>
    <w:rsid w:val="09A99EA4"/>
    <w:rsid w:val="0B4BA9DA"/>
    <w:rsid w:val="0B5E9011"/>
    <w:rsid w:val="0B92FBC2"/>
    <w:rsid w:val="0BC599D9"/>
    <w:rsid w:val="0C841D34"/>
    <w:rsid w:val="0D3C32DA"/>
    <w:rsid w:val="0DEF382E"/>
    <w:rsid w:val="0E08876D"/>
    <w:rsid w:val="0F1C348B"/>
    <w:rsid w:val="0F3FE3C1"/>
    <w:rsid w:val="100F62AA"/>
    <w:rsid w:val="11A52C54"/>
    <w:rsid w:val="13ED8701"/>
    <w:rsid w:val="1472DA4E"/>
    <w:rsid w:val="15B7C475"/>
    <w:rsid w:val="1729369E"/>
    <w:rsid w:val="1EE9EE04"/>
    <w:rsid w:val="205693F7"/>
    <w:rsid w:val="20D2065B"/>
    <w:rsid w:val="24971C5F"/>
    <w:rsid w:val="26D3ACE7"/>
    <w:rsid w:val="27D56262"/>
    <w:rsid w:val="2828DB00"/>
    <w:rsid w:val="28540A26"/>
    <w:rsid w:val="2A03AB8F"/>
    <w:rsid w:val="2A3067E7"/>
    <w:rsid w:val="2A3428FC"/>
    <w:rsid w:val="2A4917E1"/>
    <w:rsid w:val="2D12F369"/>
    <w:rsid w:val="2D5BA283"/>
    <w:rsid w:val="2DE3D94D"/>
    <w:rsid w:val="300AB344"/>
    <w:rsid w:val="30B2DEF4"/>
    <w:rsid w:val="320839A8"/>
    <w:rsid w:val="32C8AA3D"/>
    <w:rsid w:val="3359AEEB"/>
    <w:rsid w:val="3439C3C4"/>
    <w:rsid w:val="346FD06B"/>
    <w:rsid w:val="359961E3"/>
    <w:rsid w:val="37504AB9"/>
    <w:rsid w:val="3761FE44"/>
    <w:rsid w:val="38A8AEFE"/>
    <w:rsid w:val="39136745"/>
    <w:rsid w:val="3A9D8939"/>
    <w:rsid w:val="3DBDF648"/>
    <w:rsid w:val="3DD800E9"/>
    <w:rsid w:val="3E300A09"/>
    <w:rsid w:val="3ED99C9A"/>
    <w:rsid w:val="3FF42652"/>
    <w:rsid w:val="40FDC157"/>
    <w:rsid w:val="44C257D7"/>
    <w:rsid w:val="44DB330C"/>
    <w:rsid w:val="45943DD4"/>
    <w:rsid w:val="471D3F7B"/>
    <w:rsid w:val="47711DF7"/>
    <w:rsid w:val="4A552563"/>
    <w:rsid w:val="4AAC162E"/>
    <w:rsid w:val="4B2D8075"/>
    <w:rsid w:val="4BA373A4"/>
    <w:rsid w:val="4BD67643"/>
    <w:rsid w:val="4DE9D41A"/>
    <w:rsid w:val="4FD569C6"/>
    <w:rsid w:val="50154EC2"/>
    <w:rsid w:val="511A1DFB"/>
    <w:rsid w:val="51A8FFC7"/>
    <w:rsid w:val="55460E47"/>
    <w:rsid w:val="55BD74B9"/>
    <w:rsid w:val="55F83E29"/>
    <w:rsid w:val="567409E4"/>
    <w:rsid w:val="56C1ECC0"/>
    <w:rsid w:val="57826CB4"/>
    <w:rsid w:val="58B710E8"/>
    <w:rsid w:val="5958BEA5"/>
    <w:rsid w:val="5A30FB5B"/>
    <w:rsid w:val="5A817FDF"/>
    <w:rsid w:val="5AEF83FC"/>
    <w:rsid w:val="5AF1A24F"/>
    <w:rsid w:val="5B975621"/>
    <w:rsid w:val="5D257D56"/>
    <w:rsid w:val="5DF3246C"/>
    <w:rsid w:val="60AFC54D"/>
    <w:rsid w:val="6470B2CF"/>
    <w:rsid w:val="64C29953"/>
    <w:rsid w:val="65736DE4"/>
    <w:rsid w:val="665FDD6D"/>
    <w:rsid w:val="673A8555"/>
    <w:rsid w:val="67B60D6F"/>
    <w:rsid w:val="6908FFAB"/>
    <w:rsid w:val="6944B20C"/>
    <w:rsid w:val="69B247F3"/>
    <w:rsid w:val="6B500C4B"/>
    <w:rsid w:val="6D5DBAAD"/>
    <w:rsid w:val="6FD0B4E2"/>
    <w:rsid w:val="7141D21D"/>
    <w:rsid w:val="71A8D2D1"/>
    <w:rsid w:val="72329D20"/>
    <w:rsid w:val="7371B6EB"/>
    <w:rsid w:val="73F05F4B"/>
    <w:rsid w:val="74F0B92E"/>
    <w:rsid w:val="75CFD09A"/>
    <w:rsid w:val="76D383D3"/>
    <w:rsid w:val="76E77172"/>
    <w:rsid w:val="7739D0A2"/>
    <w:rsid w:val="77639E6F"/>
    <w:rsid w:val="78DAE1F6"/>
    <w:rsid w:val="799439ED"/>
    <w:rsid w:val="79EC1385"/>
    <w:rsid w:val="7B249139"/>
    <w:rsid w:val="7B5977C4"/>
    <w:rsid w:val="7BC7B5FA"/>
    <w:rsid w:val="7CB41563"/>
    <w:rsid w:val="7D80697F"/>
    <w:rsid w:val="7DFC7D57"/>
    <w:rsid w:val="7E021FFE"/>
    <w:rsid w:val="7E7EC52F"/>
    <w:rsid w:val="7F832ABD"/>
    <w:rsid w:val="7FC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2FED"/>
  <w14:defaultImageDpi w14:val="32767"/>
  <w15:chartTrackingRefBased/>
  <w15:docId w15:val="{06F65B46-ABD2-5446-A49F-9735E39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2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2C55"/>
  </w:style>
  <w:style w:type="character" w:customStyle="1" w:styleId="eop">
    <w:name w:val="eop"/>
    <w:basedOn w:val="DefaultParagraphFont"/>
    <w:rsid w:val="002E2C55"/>
  </w:style>
  <w:style w:type="character" w:customStyle="1" w:styleId="apple-converted-space">
    <w:name w:val="apple-converted-space"/>
    <w:basedOn w:val="DefaultParagraphFont"/>
    <w:rsid w:val="002E2C55"/>
  </w:style>
  <w:style w:type="character" w:customStyle="1" w:styleId="advancedproofingissue">
    <w:name w:val="advancedproofingissue"/>
    <w:basedOn w:val="DefaultParagraphFont"/>
    <w:rsid w:val="002E2C55"/>
  </w:style>
  <w:style w:type="character" w:customStyle="1" w:styleId="scxw55008030">
    <w:name w:val="scxw55008030"/>
    <w:basedOn w:val="DefaultParagraphFont"/>
    <w:rsid w:val="002E2C55"/>
  </w:style>
  <w:style w:type="paragraph" w:styleId="ListParagraph">
    <w:name w:val="List Paragraph"/>
    <w:basedOn w:val="Normal"/>
    <w:uiPriority w:val="34"/>
    <w:qFormat/>
    <w:rsid w:val="00603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2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AD"/>
    <w:rPr>
      <w:rFonts w:ascii="Times New Roman" w:hAnsi="Times New Roman" w:cs="Times New Roman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605D"/>
  </w:style>
  <w:style w:type="character" w:styleId="Hyperlink">
    <w:name w:val="Hyperlink"/>
    <w:basedOn w:val="DefaultParagraphFont"/>
    <w:uiPriority w:val="99"/>
    <w:unhideWhenUsed/>
    <w:rsid w:val="00F760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3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unhideWhenUsed/>
    <w:rsid w:val="004D2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03"/>
  </w:style>
  <w:style w:type="character" w:customStyle="1" w:styleId="bcx4">
    <w:name w:val="bcx4"/>
    <w:basedOn w:val="DefaultParagraphFont"/>
    <w:uiPriority w:val="1"/>
    <w:rsid w:val="6FD0B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bsju.edu/integrations-curriculum/faculty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bsju.edu/integrations-curriculum/faculty-resources/teaching-resources/learning-goa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7A4DAF04A0489863C11630CDA8A4" ma:contentTypeVersion="10" ma:contentTypeDescription="Create a new document." ma:contentTypeScope="" ma:versionID="432a163630f81038effd152bd9f47574">
  <xsd:schema xmlns:xsd="http://www.w3.org/2001/XMLSchema" xmlns:xs="http://www.w3.org/2001/XMLSchema" xmlns:p="http://schemas.microsoft.com/office/2006/metadata/properties" xmlns:ns2="ba83eacb-4018-408d-98fa-2643b901ab08" xmlns:ns3="d839b0a8-63aa-452e-b787-1670a9fcad08" targetNamespace="http://schemas.microsoft.com/office/2006/metadata/properties" ma:root="true" ma:fieldsID="1cca2bb426a36fdeda438808e4cfcb5e" ns2:_="" ns3:_="">
    <xsd:import namespace="ba83eacb-4018-408d-98fa-2643b901ab08"/>
    <xsd:import namespace="d839b0a8-63aa-452e-b787-1670a9fc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3eacb-4018-408d-98fa-2643b901a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b0a8-63aa-452e-b787-1670a9fca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BAD3E-F0F1-4107-856A-2C5486463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27500-D075-4943-A5FC-E90E88E61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9DE4A-3FBD-4B90-947F-4734710B4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70BD2-7D94-472A-A7F4-7DAFA3D27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3eacb-4018-408d-98fa-2643b901ab08"/>
    <ds:schemaRef ds:uri="d839b0a8-63aa-452e-b787-1670a9fc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</dc:creator>
  <cp:keywords/>
  <dc:description/>
  <cp:lastModifiedBy>Schmitz, Laura</cp:lastModifiedBy>
  <cp:revision>2</cp:revision>
  <dcterms:created xsi:type="dcterms:W3CDTF">2022-11-07T14:56:00Z</dcterms:created>
  <dcterms:modified xsi:type="dcterms:W3CDTF">2022-11-07T14:56:00Z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0x01010039EE7A4DAF04A0489863C11630CDA8A4</vt:lpwstr>
  </property>
</Properties>
</file>