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33A2" w14:textId="77777777" w:rsidR="00FD533C" w:rsidRPr="00084D45" w:rsidRDefault="00FD533C" w:rsidP="00FD533C">
      <w:pPr>
        <w:spacing w:after="0" w:line="240" w:lineRule="auto"/>
        <w:rPr>
          <w:rFonts w:ascii="Times New Roman" w:eastAsia="Times" w:hAnsi="Times New Roman" w:cs="Times New Roman"/>
          <w:sz w:val="24"/>
          <w:szCs w:val="24"/>
        </w:rPr>
      </w:pPr>
      <w:bookmarkStart w:id="0" w:name="_GoBack"/>
      <w:bookmarkEnd w:id="0"/>
      <w:r w:rsidRPr="00084D45">
        <w:rPr>
          <w:rFonts w:ascii="Times New Roman" w:eastAsia="Times" w:hAnsi="Times New Roman" w:cs="Times New Roman"/>
          <w:b/>
          <w:bCs/>
          <w:sz w:val="24"/>
          <w:szCs w:val="24"/>
        </w:rPr>
        <w:t>Natural World</w:t>
      </w:r>
    </w:p>
    <w:p w14:paraId="0A0FB52E" w14:textId="77777777" w:rsidR="00FD533C" w:rsidRPr="00084D45" w:rsidRDefault="00FD533C" w:rsidP="00FD533C">
      <w:pPr>
        <w:spacing w:after="0" w:line="240" w:lineRule="auto"/>
        <w:rPr>
          <w:rFonts w:ascii="Times New Roman" w:eastAsia="Times" w:hAnsi="Times New Roman" w:cs="Times New Roman"/>
          <w:sz w:val="24"/>
          <w:szCs w:val="24"/>
        </w:rPr>
      </w:pPr>
    </w:p>
    <w:p w14:paraId="17A66BB2" w14:textId="77777777" w:rsidR="00FD533C" w:rsidRPr="00084D45" w:rsidRDefault="00FD533C" w:rsidP="00FD533C">
      <w:pPr>
        <w:spacing w:after="0" w:line="240" w:lineRule="auto"/>
        <w:rPr>
          <w:rFonts w:ascii="Times New Roman" w:eastAsia="Calibri" w:hAnsi="Times New Roman" w:cs="Times New Roman"/>
          <w:sz w:val="24"/>
          <w:szCs w:val="24"/>
        </w:rPr>
      </w:pPr>
      <w:r w:rsidRPr="00084D45">
        <w:rPr>
          <w:rFonts w:ascii="Times New Roman" w:eastAsia="Times" w:hAnsi="Times New Roman" w:cs="Times New Roman"/>
          <w:sz w:val="24"/>
          <w:szCs w:val="24"/>
        </w:rPr>
        <w:t>This Way of Thinking examines the structures and interactions within the natural world. The natural world comprises the physical universe, both living and non-living, as well as the forces that act on it. This empirical mode of inquiry relies on constructing hypotheses and testing them with data collected through observation and experimentation to learn about the natural world.</w:t>
      </w:r>
    </w:p>
    <w:p w14:paraId="667E582A" w14:textId="77777777" w:rsidR="00FD533C" w:rsidRPr="00084D45" w:rsidRDefault="00FD533C" w:rsidP="00FD533C">
      <w:pPr>
        <w:spacing w:after="0" w:line="240" w:lineRule="auto"/>
        <w:rPr>
          <w:rFonts w:ascii="Times New Roman" w:eastAsia="Times" w:hAnsi="Times New Roman" w:cs="Times New Roman"/>
          <w:sz w:val="24"/>
          <w:szCs w:val="24"/>
        </w:rPr>
      </w:pPr>
    </w:p>
    <w:p w14:paraId="18092E8F" w14:textId="77777777" w:rsidR="00FD533C" w:rsidRPr="00084D45" w:rsidRDefault="00FD533C" w:rsidP="00FD533C">
      <w:pPr>
        <w:spacing w:beforeAutospacing="1" w:after="0" w:afterAutospacing="1" w:line="240" w:lineRule="auto"/>
        <w:rPr>
          <w:rFonts w:ascii="Times New Roman" w:eastAsia="Times" w:hAnsi="Times New Roman" w:cs="Times New Roman"/>
          <w:sz w:val="24"/>
          <w:szCs w:val="24"/>
        </w:rPr>
      </w:pPr>
      <w:r w:rsidRPr="00084D45">
        <w:rPr>
          <w:rFonts w:ascii="Times New Roman" w:eastAsia="Times" w:hAnsi="Times New Roman" w:cs="Times New Roman"/>
          <w:sz w:val="24"/>
          <w:szCs w:val="24"/>
        </w:rPr>
        <w:t>Students will distinguish between inquiry that aims at empirical knowledge and other forms of human inquiry and knowing. These courses will enable students to have a deeper understanding of the natural world and prepare students to evaluate scientific claims critically through an appeal to factual evidence. These courses are accompanied by lab periods where students will make observations, collect data, appropriately analyze their results, and communicate their findings.</w:t>
      </w:r>
    </w:p>
    <w:p w14:paraId="707086B6" w14:textId="77777777" w:rsidR="001D6714" w:rsidRPr="001D6714" w:rsidRDefault="001D6714" w:rsidP="001D6714">
      <w:pPr>
        <w:spacing w:before="100" w:beforeAutospacing="1" w:after="100" w:afterAutospacing="1" w:line="240" w:lineRule="auto"/>
        <w:jc w:val="center"/>
        <w:rPr>
          <w:rFonts w:ascii="Times New Roman" w:eastAsia="Times" w:hAnsi="Times New Roman" w:cs="Times New Roman"/>
          <w:sz w:val="24"/>
          <w:szCs w:val="24"/>
        </w:rPr>
      </w:pPr>
      <w:r w:rsidRPr="001D6714">
        <w:rPr>
          <w:rFonts w:ascii="Times New Roman" w:eastAsia="Times" w:hAnsi="Times New Roman" w:cs="Times New Roman"/>
          <w:sz w:val="24"/>
          <w:szCs w:val="24"/>
        </w:rPr>
        <w:t>***</w:t>
      </w:r>
    </w:p>
    <w:p w14:paraId="27ECE4BC"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A Way of Thinking course may only carry one Way of Thinking per instructor; team taught courses may have two distinct Ways of Thinking. </w:t>
      </w:r>
    </w:p>
    <w:p w14:paraId="460FDA70"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693BC1DE"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Will your course be team-taught? (Yes/ No)</w:t>
      </w:r>
    </w:p>
    <w:p w14:paraId="348950EB"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12F21719"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If yes, then please list instructor and list second Way of Thinking (the proposal for the second Way of Thinking must be submitted at the same time): </w:t>
      </w:r>
    </w:p>
    <w:p w14:paraId="6C6CD7BF"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269DA709"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Application date: </w:t>
      </w:r>
    </w:p>
    <w:p w14:paraId="091DC66F"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565252B6"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In what term will the course first be taught: </w:t>
      </w:r>
    </w:p>
    <w:p w14:paraId="2F3BE769"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28297213" w14:textId="77777777" w:rsidR="001D6714" w:rsidRPr="001D6714" w:rsidRDefault="001D6714" w:rsidP="001D6714">
      <w:pPr>
        <w:spacing w:after="0" w:line="240" w:lineRule="auto"/>
        <w:rPr>
          <w:rFonts w:ascii="Times New Roman" w:eastAsia="Times" w:hAnsi="Times New Roman" w:cs="Times New Roman"/>
          <w:b/>
          <w:bCs/>
          <w:sz w:val="24"/>
          <w:szCs w:val="24"/>
          <w:u w:val="single"/>
        </w:rPr>
      </w:pPr>
      <w:r w:rsidRPr="001D6714">
        <w:rPr>
          <w:rFonts w:ascii="Times New Roman" w:eastAsia="Times" w:hAnsi="Times New Roman" w:cs="Times New Roman"/>
          <w:b/>
          <w:bCs/>
          <w:sz w:val="24"/>
          <w:szCs w:val="24"/>
          <w:u w:val="single"/>
        </w:rPr>
        <w:t>Basic Course Information</w:t>
      </w:r>
    </w:p>
    <w:p w14:paraId="590A0EF4"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71EC8E7D"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Department: </w:t>
      </w:r>
    </w:p>
    <w:p w14:paraId="1B23482D"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33949614"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Instructor:</w:t>
      </w:r>
    </w:p>
    <w:p w14:paraId="664E4BCA"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64BE6C02"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Course Number: </w:t>
      </w:r>
    </w:p>
    <w:p w14:paraId="78426A94"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26FFB883"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Course title (as listed in the official catalog). If a topics course, please list the specific title this request applies to: </w:t>
      </w:r>
    </w:p>
    <w:p w14:paraId="3B564019"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76E5D5FF"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Abbreviated title for class schedule (30 characters or less including parenthesis &amp; designation):  </w:t>
      </w:r>
    </w:p>
    <w:p w14:paraId="6A4F8C73"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08CBF883"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Number of credits: </w:t>
      </w:r>
    </w:p>
    <w:p w14:paraId="1409802D"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4B86F5DF"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If new course, grading type: (Drop down)</w:t>
      </w:r>
    </w:p>
    <w:p w14:paraId="13933658"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119888A4"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Prerequisites (if any): </w:t>
      </w:r>
    </w:p>
    <w:p w14:paraId="23BEB7AC"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lastRenderedPageBreak/>
        <w:t xml:space="preserve"> </w:t>
      </w:r>
    </w:p>
    <w:p w14:paraId="66990EE2"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MOST RECENT Official course description from the Academic Catalog. If this is a topics course, please list description for this specific topic: </w:t>
      </w:r>
    </w:p>
    <w:p w14:paraId="18DCE64C" w14:textId="77777777" w:rsidR="001D6714" w:rsidRPr="001D6714" w:rsidRDefault="001D6714" w:rsidP="001D6714">
      <w:pPr>
        <w:spacing w:after="0" w:line="240" w:lineRule="auto"/>
        <w:rPr>
          <w:rFonts w:ascii="Times New Roman" w:eastAsia="Times" w:hAnsi="Times New Roman" w:cs="Times New Roman"/>
          <w:sz w:val="24"/>
          <w:szCs w:val="24"/>
        </w:rPr>
      </w:pPr>
    </w:p>
    <w:p w14:paraId="6D7B9E30"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Date Proposal Received: (Auto-filled)</w:t>
      </w:r>
    </w:p>
    <w:p w14:paraId="3A709A90" w14:textId="77777777" w:rsidR="001D6714" w:rsidRPr="001D6714" w:rsidRDefault="001D6714" w:rsidP="001D6714">
      <w:pPr>
        <w:spacing w:after="0" w:line="240" w:lineRule="auto"/>
        <w:rPr>
          <w:rFonts w:ascii="Times New Roman" w:eastAsia="Times" w:hAnsi="Times New Roman" w:cs="Times New Roman"/>
          <w:sz w:val="24"/>
          <w:szCs w:val="24"/>
        </w:rPr>
      </w:pPr>
    </w:p>
    <w:p w14:paraId="0CE65B5C" w14:textId="77777777" w:rsidR="001D6714" w:rsidRPr="001D6714" w:rsidRDefault="001D6714" w:rsidP="001D6714">
      <w:pPr>
        <w:spacing w:after="0" w:line="240" w:lineRule="auto"/>
        <w:jc w:val="center"/>
        <w:rPr>
          <w:rFonts w:ascii="Times New Roman" w:eastAsia="Times" w:hAnsi="Times New Roman" w:cs="Times New Roman"/>
          <w:sz w:val="24"/>
          <w:szCs w:val="24"/>
        </w:rPr>
      </w:pPr>
      <w:r w:rsidRPr="001D6714">
        <w:rPr>
          <w:rFonts w:ascii="Times New Roman" w:eastAsia="Times" w:hAnsi="Times New Roman" w:cs="Times New Roman"/>
          <w:sz w:val="24"/>
          <w:szCs w:val="24"/>
        </w:rPr>
        <w:t>***</w:t>
      </w:r>
    </w:p>
    <w:p w14:paraId="7C4B921D" w14:textId="77777777" w:rsidR="001D6714" w:rsidRPr="001D6714" w:rsidRDefault="001D6714" w:rsidP="001D6714">
      <w:pPr>
        <w:spacing w:after="0" w:line="240" w:lineRule="auto"/>
        <w:jc w:val="center"/>
        <w:rPr>
          <w:rFonts w:ascii="Times New Roman" w:eastAsia="Times" w:hAnsi="Times New Roman" w:cs="Times New Roman"/>
          <w:sz w:val="24"/>
          <w:szCs w:val="24"/>
        </w:rPr>
      </w:pPr>
    </w:p>
    <w:p w14:paraId="7A315D7D" w14:textId="77777777" w:rsidR="001D6714" w:rsidRPr="001D6714" w:rsidRDefault="001D6714" w:rsidP="001D6714">
      <w:pPr>
        <w:spacing w:after="0" w:line="257" w:lineRule="exact"/>
        <w:rPr>
          <w:rFonts w:ascii="Times New Roman" w:eastAsia="Times" w:hAnsi="Times New Roman" w:cs="Times New Roman"/>
          <w:sz w:val="24"/>
          <w:szCs w:val="24"/>
        </w:rPr>
      </w:pPr>
      <w:r w:rsidRPr="001D6714">
        <w:rPr>
          <w:rFonts w:ascii="Times New Roman" w:eastAsia="Times" w:hAnsi="Times New Roman" w:cs="Times New Roman"/>
          <w:sz w:val="24"/>
          <w:szCs w:val="24"/>
        </w:rPr>
        <w:t>In the Integrations Curriculum a course can be designated as either:</w:t>
      </w:r>
    </w:p>
    <w:p w14:paraId="52DC8775" w14:textId="77777777" w:rsidR="001D6714" w:rsidRPr="001D6714" w:rsidRDefault="001D6714" w:rsidP="001D6714">
      <w:pPr>
        <w:numPr>
          <w:ilvl w:val="0"/>
          <w:numId w:val="5"/>
        </w:numPr>
        <w:spacing w:after="0" w:line="240" w:lineRule="auto"/>
        <w:contextualSpacing/>
        <w:rPr>
          <w:rFonts w:ascii="Times New Roman" w:hAnsi="Times New Roman" w:cs="Times New Roman"/>
          <w:color w:val="000000" w:themeColor="text1"/>
          <w:sz w:val="24"/>
          <w:szCs w:val="24"/>
        </w:rPr>
      </w:pPr>
      <w:r w:rsidRPr="001D6714">
        <w:rPr>
          <w:rFonts w:ascii="Times New Roman" w:eastAsia="Times" w:hAnsi="Times New Roman" w:cs="Times New Roman"/>
          <w:sz w:val="24"/>
          <w:szCs w:val="24"/>
        </w:rPr>
        <w:t>A Way of Thinking, OR</w:t>
      </w:r>
    </w:p>
    <w:p w14:paraId="714587DD" w14:textId="77777777" w:rsidR="001D6714" w:rsidRPr="001D6714" w:rsidRDefault="001D6714" w:rsidP="001D6714">
      <w:pPr>
        <w:numPr>
          <w:ilvl w:val="0"/>
          <w:numId w:val="5"/>
        </w:numPr>
        <w:spacing w:after="0" w:line="240" w:lineRule="auto"/>
        <w:contextualSpacing/>
        <w:rPr>
          <w:rFonts w:ascii="Times New Roman" w:hAnsi="Times New Roman" w:cs="Times New Roman"/>
          <w:color w:val="000000" w:themeColor="text1"/>
          <w:sz w:val="24"/>
          <w:szCs w:val="24"/>
        </w:rPr>
      </w:pPr>
      <w:r w:rsidRPr="001D6714">
        <w:rPr>
          <w:rFonts w:ascii="Times New Roman" w:eastAsia="Times" w:hAnsi="Times New Roman" w:cs="Times New Roman"/>
          <w:sz w:val="24"/>
          <w:szCs w:val="24"/>
        </w:rPr>
        <w:t>CSD: Identity or CSD: Systems, OR</w:t>
      </w:r>
    </w:p>
    <w:p w14:paraId="137A2CDD" w14:textId="77777777" w:rsidR="001D6714" w:rsidRPr="001D6714" w:rsidRDefault="001D6714" w:rsidP="001D6714">
      <w:pPr>
        <w:numPr>
          <w:ilvl w:val="0"/>
          <w:numId w:val="5"/>
        </w:numPr>
        <w:spacing w:after="0" w:line="240" w:lineRule="auto"/>
        <w:contextualSpacing/>
        <w:rPr>
          <w:rFonts w:ascii="Times New Roman" w:hAnsi="Times New Roman" w:cs="Times New Roman"/>
          <w:color w:val="000000" w:themeColor="text1"/>
          <w:sz w:val="24"/>
          <w:szCs w:val="24"/>
        </w:rPr>
      </w:pPr>
      <w:r w:rsidRPr="001D6714">
        <w:rPr>
          <w:rFonts w:ascii="Times New Roman" w:eastAsia="Times" w:hAnsi="Times New Roman" w:cs="Times New Roman"/>
          <w:sz w:val="24"/>
          <w:szCs w:val="24"/>
        </w:rPr>
        <w:t>Writing Foundations, Writing Explorations, or Writing Integrations, OR</w:t>
      </w:r>
    </w:p>
    <w:p w14:paraId="5117CC43" w14:textId="77777777" w:rsidR="001D6714" w:rsidRPr="001D6714" w:rsidRDefault="001D6714" w:rsidP="001D6714">
      <w:pPr>
        <w:numPr>
          <w:ilvl w:val="0"/>
          <w:numId w:val="5"/>
        </w:numPr>
        <w:spacing w:after="0" w:line="240" w:lineRule="auto"/>
        <w:contextualSpacing/>
        <w:rPr>
          <w:rFonts w:ascii="Times New Roman" w:hAnsi="Times New Roman" w:cs="Times New Roman"/>
          <w:color w:val="000000" w:themeColor="text1"/>
          <w:sz w:val="24"/>
          <w:szCs w:val="24"/>
        </w:rPr>
      </w:pPr>
      <w:r w:rsidRPr="001D6714">
        <w:rPr>
          <w:rFonts w:ascii="Times New Roman" w:eastAsia="Times" w:hAnsi="Times New Roman" w:cs="Times New Roman"/>
          <w:sz w:val="24"/>
          <w:szCs w:val="24"/>
        </w:rPr>
        <w:t>Theological Explorations (Theo 1) or Theological Integrations (Theo 2).</w:t>
      </w:r>
    </w:p>
    <w:p w14:paraId="1904061A" w14:textId="77777777" w:rsidR="001D6714" w:rsidRPr="001D6714" w:rsidRDefault="001D6714" w:rsidP="001D6714">
      <w:pPr>
        <w:spacing w:after="0" w:line="257" w:lineRule="exact"/>
        <w:rPr>
          <w:rFonts w:ascii="Times New Roman" w:eastAsia="Times" w:hAnsi="Times New Roman" w:cs="Times New Roman"/>
          <w:sz w:val="24"/>
          <w:szCs w:val="24"/>
        </w:rPr>
      </w:pPr>
    </w:p>
    <w:p w14:paraId="4A6ACC2A" w14:textId="77777777" w:rsidR="001D6714" w:rsidRPr="001D6714" w:rsidRDefault="001D6714" w:rsidP="001D6714">
      <w:pPr>
        <w:spacing w:after="0" w:line="257" w:lineRule="exact"/>
        <w:rPr>
          <w:rFonts w:ascii="Times New Roman" w:eastAsia="Times" w:hAnsi="Times New Roman" w:cs="Times New Roman"/>
          <w:sz w:val="24"/>
          <w:szCs w:val="24"/>
        </w:rPr>
      </w:pPr>
      <w:r w:rsidRPr="001D6714">
        <w:rPr>
          <w:rFonts w:ascii="Times New Roman" w:eastAsia="Times" w:hAnsi="Times New Roman" w:cs="Times New Roman"/>
          <w:sz w:val="24"/>
          <w:szCs w:val="24"/>
        </w:rPr>
        <w:t>Any course carrying one of the above designations may also have one or two engagements, except for Theological Explorations (Theo 1) and Writing Foundations, which cannot carry engagements:</w:t>
      </w:r>
    </w:p>
    <w:p w14:paraId="7E27545A" w14:textId="77777777" w:rsidR="001D6714" w:rsidRPr="001D6714" w:rsidRDefault="001D6714" w:rsidP="001D6714">
      <w:pPr>
        <w:spacing w:after="0" w:line="257" w:lineRule="exact"/>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45DBEC84" w14:textId="77777777" w:rsidR="001D6714" w:rsidRPr="001D6714" w:rsidRDefault="001D6714" w:rsidP="001D6714">
      <w:pPr>
        <w:numPr>
          <w:ilvl w:val="0"/>
          <w:numId w:val="4"/>
        </w:numPr>
        <w:spacing w:after="0" w:line="240" w:lineRule="auto"/>
        <w:contextualSpacing/>
        <w:rPr>
          <w:rFonts w:ascii="Times New Roman" w:hAnsi="Times New Roman" w:cs="Times New Roman"/>
          <w:color w:val="000000" w:themeColor="text1"/>
          <w:sz w:val="24"/>
          <w:szCs w:val="24"/>
        </w:rPr>
      </w:pPr>
      <w:r w:rsidRPr="001D6714">
        <w:rPr>
          <w:rFonts w:ascii="Times New Roman" w:eastAsia="Times" w:hAnsi="Times New Roman" w:cs="Times New Roman"/>
          <w:sz w:val="24"/>
          <w:szCs w:val="24"/>
        </w:rPr>
        <w:t>Artistic engagement (ARTE)</w:t>
      </w:r>
    </w:p>
    <w:p w14:paraId="210D6C7B" w14:textId="77777777" w:rsidR="001D6714" w:rsidRPr="001D6714" w:rsidRDefault="001D6714" w:rsidP="001D6714">
      <w:pPr>
        <w:numPr>
          <w:ilvl w:val="0"/>
          <w:numId w:val="4"/>
        </w:numPr>
        <w:spacing w:after="0" w:line="240" w:lineRule="auto"/>
        <w:contextualSpacing/>
        <w:rPr>
          <w:rFonts w:ascii="Times New Roman" w:hAnsi="Times New Roman" w:cs="Times New Roman"/>
          <w:color w:val="000000" w:themeColor="text1"/>
          <w:sz w:val="24"/>
          <w:szCs w:val="24"/>
        </w:rPr>
      </w:pPr>
      <w:r w:rsidRPr="001D6714">
        <w:rPr>
          <w:rFonts w:ascii="Times New Roman" w:eastAsia="Times" w:hAnsi="Times New Roman" w:cs="Times New Roman"/>
          <w:sz w:val="24"/>
          <w:szCs w:val="24"/>
        </w:rPr>
        <w:t>Benedictine engagement (BEN)</w:t>
      </w:r>
    </w:p>
    <w:p w14:paraId="1B076D13" w14:textId="77777777" w:rsidR="001D6714" w:rsidRPr="001D6714" w:rsidRDefault="001D6714" w:rsidP="001D6714">
      <w:pPr>
        <w:numPr>
          <w:ilvl w:val="0"/>
          <w:numId w:val="4"/>
        </w:numPr>
        <w:spacing w:after="0" w:line="240" w:lineRule="auto"/>
        <w:contextualSpacing/>
        <w:rPr>
          <w:rFonts w:ascii="Times New Roman" w:hAnsi="Times New Roman" w:cs="Times New Roman"/>
          <w:color w:val="000000" w:themeColor="text1"/>
          <w:sz w:val="24"/>
          <w:szCs w:val="24"/>
        </w:rPr>
      </w:pPr>
      <w:r w:rsidRPr="001D6714">
        <w:rPr>
          <w:rFonts w:ascii="Times New Roman" w:eastAsia="Times" w:hAnsi="Times New Roman" w:cs="Times New Roman"/>
          <w:sz w:val="24"/>
          <w:szCs w:val="24"/>
        </w:rPr>
        <w:t>Experiential engagement (EXP)</w:t>
      </w:r>
    </w:p>
    <w:p w14:paraId="06F022D6" w14:textId="77777777" w:rsidR="001D6714" w:rsidRPr="001D6714" w:rsidRDefault="001D6714" w:rsidP="001D6714">
      <w:pPr>
        <w:numPr>
          <w:ilvl w:val="0"/>
          <w:numId w:val="4"/>
        </w:numPr>
        <w:spacing w:after="0" w:line="240" w:lineRule="auto"/>
        <w:contextualSpacing/>
        <w:rPr>
          <w:rFonts w:ascii="Times New Roman" w:hAnsi="Times New Roman" w:cs="Times New Roman"/>
          <w:color w:val="000000" w:themeColor="text1"/>
          <w:sz w:val="24"/>
          <w:szCs w:val="24"/>
        </w:rPr>
      </w:pPr>
      <w:r w:rsidRPr="001D6714">
        <w:rPr>
          <w:rFonts w:ascii="Times New Roman" w:eastAsia="Times" w:hAnsi="Times New Roman" w:cs="Times New Roman"/>
          <w:sz w:val="24"/>
          <w:szCs w:val="24"/>
        </w:rPr>
        <w:t>Global engagement (GLO)</w:t>
      </w:r>
    </w:p>
    <w:p w14:paraId="4575104F" w14:textId="77777777" w:rsidR="001D6714" w:rsidRPr="001D6714" w:rsidRDefault="001D6714" w:rsidP="001D6714">
      <w:pPr>
        <w:spacing w:after="0" w:line="257" w:lineRule="exact"/>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36FF72C1"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Any course, except Theological Explorations (Theo 1) and Writing Foundations, may also satisfy the Quantitative Reasoning skill requirement.</w:t>
      </w:r>
    </w:p>
    <w:p w14:paraId="00E2179B" w14:textId="77777777" w:rsidR="001D6714" w:rsidRPr="001D6714" w:rsidRDefault="001D6714" w:rsidP="001D6714">
      <w:pPr>
        <w:spacing w:after="0" w:line="257" w:lineRule="exact"/>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7CB03F57" w14:textId="77777777" w:rsidR="001D6714" w:rsidRPr="001D6714" w:rsidRDefault="001D6714" w:rsidP="001D6714">
      <w:pPr>
        <w:spacing w:after="0" w:line="257" w:lineRule="exact"/>
        <w:rPr>
          <w:rFonts w:ascii="Times New Roman" w:eastAsia="Times" w:hAnsi="Times New Roman" w:cs="Times New Roman"/>
          <w:sz w:val="24"/>
          <w:szCs w:val="24"/>
        </w:rPr>
      </w:pPr>
      <w:r w:rsidRPr="001D6714">
        <w:rPr>
          <w:rFonts w:ascii="Times New Roman" w:eastAsia="Times" w:hAnsi="Times New Roman" w:cs="Times New Roman"/>
          <w:sz w:val="24"/>
          <w:szCs w:val="24"/>
        </w:rPr>
        <w:t>Way of Thinking courses may also be themed (Thematic Encounter 100/200/300 or Thematic Focus 200/300). Way of Thinking courses are the only courses that can be designated as a Thematic Encounter or a Thematic Focus.</w:t>
      </w:r>
    </w:p>
    <w:p w14:paraId="107AE8FE" w14:textId="77777777" w:rsidR="001D6714" w:rsidRPr="001D6714" w:rsidRDefault="001D6714" w:rsidP="001D6714">
      <w:pPr>
        <w:spacing w:after="0" w:line="240" w:lineRule="auto"/>
        <w:rPr>
          <w:rFonts w:ascii="Times New Roman" w:eastAsia="Times" w:hAnsi="Times New Roman" w:cs="Times New Roman"/>
          <w:sz w:val="24"/>
          <w:szCs w:val="24"/>
        </w:rPr>
      </w:pPr>
      <w:r w:rsidRPr="001D6714">
        <w:rPr>
          <w:rFonts w:ascii="Times New Roman" w:eastAsia="Times" w:hAnsi="Times New Roman" w:cs="Times New Roman"/>
          <w:sz w:val="24"/>
          <w:szCs w:val="24"/>
        </w:rPr>
        <w:t xml:space="preserve"> </w:t>
      </w:r>
    </w:p>
    <w:p w14:paraId="490B67EE" w14:textId="7A586A17" w:rsidR="00FD533C" w:rsidRDefault="001D6714" w:rsidP="001D6714">
      <w:pPr>
        <w:spacing w:after="0" w:line="240" w:lineRule="auto"/>
        <w:jc w:val="center"/>
        <w:rPr>
          <w:rFonts w:ascii="Times New Roman" w:eastAsia="Calibri" w:hAnsi="Times New Roman" w:cs="Times New Roman"/>
          <w:sz w:val="24"/>
          <w:szCs w:val="24"/>
        </w:rPr>
      </w:pPr>
      <w:r w:rsidRPr="001D6714">
        <w:rPr>
          <w:rFonts w:ascii="Times New Roman" w:eastAsia="Times" w:hAnsi="Times New Roman" w:cs="Times New Roman"/>
          <w:sz w:val="24"/>
          <w:szCs w:val="24"/>
        </w:rPr>
        <w:t>***</w:t>
      </w:r>
    </w:p>
    <w:p w14:paraId="1D34441B" w14:textId="77777777" w:rsidR="001D6714" w:rsidRPr="00084D45" w:rsidRDefault="001D6714" w:rsidP="006D1995">
      <w:pPr>
        <w:spacing w:after="0" w:line="240" w:lineRule="auto"/>
        <w:jc w:val="center"/>
        <w:rPr>
          <w:rFonts w:ascii="Times New Roman" w:eastAsia="Calibri" w:hAnsi="Times New Roman" w:cs="Times New Roman"/>
          <w:sz w:val="24"/>
          <w:szCs w:val="24"/>
        </w:rPr>
      </w:pPr>
    </w:p>
    <w:p w14:paraId="559EEDF3" w14:textId="77777777" w:rsidR="00FD533C" w:rsidRPr="00084D45" w:rsidRDefault="00FD533C" w:rsidP="00FD533C">
      <w:pPr>
        <w:spacing w:after="0" w:line="240" w:lineRule="auto"/>
        <w:rPr>
          <w:rFonts w:ascii="Times New Roman" w:eastAsia="Calibri" w:hAnsi="Times New Roman" w:cs="Times New Roman"/>
          <w:sz w:val="24"/>
          <w:szCs w:val="24"/>
        </w:rPr>
      </w:pPr>
      <w:bookmarkStart w:id="1" w:name="_Hlk9499490"/>
      <w:r w:rsidRPr="00084D45">
        <w:rPr>
          <w:rFonts w:ascii="Times New Roman" w:eastAsia="Calibri" w:hAnsi="Times New Roman" w:cs="Times New Roman"/>
          <w:color w:val="000000"/>
          <w:sz w:val="24"/>
          <w:szCs w:val="24"/>
        </w:rPr>
        <w:t>Please note: the committee understands that some courses may still be in development. Prompts that ask for examples of assignments seek information about the spirit of what students will do, and instructors are not bound to the specific details (e.g. writing prompts) provided.</w:t>
      </w:r>
      <w:bookmarkEnd w:id="1"/>
    </w:p>
    <w:p w14:paraId="4D1B70F9" w14:textId="77777777" w:rsidR="00FD533C" w:rsidRPr="00084D45" w:rsidRDefault="00FD533C" w:rsidP="00FD533C">
      <w:pPr>
        <w:spacing w:after="0" w:line="240" w:lineRule="auto"/>
        <w:rPr>
          <w:rFonts w:ascii="Times New Roman" w:eastAsia="Calibri" w:hAnsi="Times New Roman" w:cs="Times New Roman"/>
          <w:sz w:val="24"/>
          <w:szCs w:val="24"/>
        </w:rPr>
      </w:pPr>
    </w:p>
    <w:p w14:paraId="30C9D74D" w14:textId="77777777" w:rsidR="00FD533C" w:rsidRPr="00084D45" w:rsidRDefault="00FD533C" w:rsidP="00FD533C">
      <w:pPr>
        <w:numPr>
          <w:ilvl w:val="0"/>
          <w:numId w:val="3"/>
        </w:numPr>
        <w:spacing w:after="0" w:line="240" w:lineRule="auto"/>
        <w:contextualSpacing/>
        <w:rPr>
          <w:rFonts w:ascii="Times New Roman" w:eastAsia="Calibri" w:hAnsi="Times New Roman" w:cs="Times New Roman"/>
          <w:sz w:val="24"/>
          <w:szCs w:val="24"/>
        </w:rPr>
      </w:pPr>
      <w:r w:rsidRPr="00084D45">
        <w:rPr>
          <w:rFonts w:ascii="Times New Roman" w:eastAsia="Calibri" w:hAnsi="Times New Roman" w:cs="Times New Roman"/>
          <w:sz w:val="24"/>
          <w:szCs w:val="24"/>
        </w:rPr>
        <w:t>This way of thinking examines the structures and interactions within the natural world.  The natural world comprises the physical universe, both living and non-living, and the forces that act upon it. What aspect(s) of the natural world will your course address?</w:t>
      </w:r>
    </w:p>
    <w:p w14:paraId="756156F9" w14:textId="77777777" w:rsidR="00FD533C" w:rsidRPr="00084D45" w:rsidRDefault="00FD533C" w:rsidP="00FD533C">
      <w:pPr>
        <w:spacing w:after="0" w:line="240" w:lineRule="auto"/>
        <w:rPr>
          <w:rFonts w:ascii="Times New Roman" w:eastAsia="Calibri" w:hAnsi="Times New Roman" w:cs="Times New Roman"/>
          <w:sz w:val="24"/>
          <w:szCs w:val="24"/>
        </w:rPr>
      </w:pPr>
    </w:p>
    <w:p w14:paraId="325273FC" w14:textId="77777777" w:rsidR="00FD533C" w:rsidRPr="00084D45" w:rsidRDefault="00FD533C" w:rsidP="00FD533C">
      <w:pPr>
        <w:numPr>
          <w:ilvl w:val="0"/>
          <w:numId w:val="3"/>
        </w:numPr>
        <w:spacing w:after="0" w:line="240" w:lineRule="auto"/>
        <w:contextualSpacing/>
        <w:rPr>
          <w:rFonts w:ascii="Times New Roman" w:eastAsia="Calibri" w:hAnsi="Times New Roman" w:cs="Times New Roman"/>
          <w:sz w:val="24"/>
          <w:szCs w:val="24"/>
        </w:rPr>
      </w:pPr>
      <w:r w:rsidRPr="00084D45">
        <w:rPr>
          <w:rFonts w:ascii="Times New Roman" w:eastAsia="Calibri" w:hAnsi="Times New Roman" w:cs="Times New Roman"/>
          <w:sz w:val="24"/>
          <w:szCs w:val="24"/>
        </w:rPr>
        <w:t xml:space="preserve">This empirical mode of inquiry relies on constructing hypotheses and testing them with data collected through observation and experimentation to learn about the natural world.  These courses will enable students to have a deeper understanding of the natural world and prepare students to evaluate scientific claims critically through an appeal to factual evidence.  These courses are accompanied by lab periods where students make observations, collect data, appropriately analyze their results, and communicate their </w:t>
      </w:r>
      <w:r w:rsidRPr="00084D45">
        <w:rPr>
          <w:rFonts w:ascii="Times New Roman" w:eastAsia="Calibri" w:hAnsi="Times New Roman" w:cs="Times New Roman"/>
          <w:sz w:val="24"/>
          <w:szCs w:val="24"/>
        </w:rPr>
        <w:lastRenderedPageBreak/>
        <w:t>findings.  Provide an example (or examples) of an assignment(s) where students demonstrate the capacity to perform this process.</w:t>
      </w:r>
    </w:p>
    <w:p w14:paraId="2038692F" w14:textId="77777777" w:rsidR="00FD533C" w:rsidRPr="00084D45" w:rsidRDefault="00FD533C" w:rsidP="00FD533C">
      <w:pPr>
        <w:spacing w:after="0" w:line="240" w:lineRule="auto"/>
        <w:rPr>
          <w:rFonts w:ascii="Times New Roman" w:eastAsia="Calibri" w:hAnsi="Times New Roman" w:cs="Times New Roman"/>
          <w:sz w:val="24"/>
          <w:szCs w:val="24"/>
        </w:rPr>
      </w:pPr>
    </w:p>
    <w:p w14:paraId="2F27F35C" w14:textId="77777777" w:rsidR="00FD533C" w:rsidRPr="00084D45" w:rsidRDefault="00FD533C" w:rsidP="00FD533C">
      <w:pPr>
        <w:numPr>
          <w:ilvl w:val="0"/>
          <w:numId w:val="3"/>
        </w:numPr>
        <w:spacing w:after="0" w:line="240" w:lineRule="auto"/>
        <w:contextualSpacing/>
        <w:rPr>
          <w:rFonts w:ascii="Times New Roman" w:eastAsia="Calibri" w:hAnsi="Times New Roman" w:cs="Times New Roman"/>
          <w:sz w:val="24"/>
          <w:szCs w:val="24"/>
        </w:rPr>
      </w:pPr>
      <w:r w:rsidRPr="00084D45">
        <w:rPr>
          <w:rFonts w:ascii="Times New Roman" w:eastAsia="Calibri" w:hAnsi="Times New Roman" w:cs="Times New Roman"/>
          <w:sz w:val="24"/>
          <w:szCs w:val="24"/>
        </w:rPr>
        <w:t>Students must distinguish between inquiry that aims at empirical knowledge and other forms of human inquiry and knowing.  Give an example (or examples) of an assignment(s) where students will demonstrate this awareness and the ability to distinguish these different forms of knowing.</w:t>
      </w:r>
    </w:p>
    <w:p w14:paraId="2AAFEE9C" w14:textId="77777777" w:rsidR="00FD533C" w:rsidRPr="00084D45" w:rsidRDefault="00FD533C" w:rsidP="00FD533C">
      <w:pPr>
        <w:spacing w:after="0" w:line="240" w:lineRule="auto"/>
        <w:rPr>
          <w:rFonts w:ascii="Times New Roman" w:eastAsia="Calibri" w:hAnsi="Times New Roman" w:cs="Times New Roman"/>
          <w:sz w:val="24"/>
          <w:szCs w:val="24"/>
        </w:rPr>
      </w:pPr>
    </w:p>
    <w:p w14:paraId="3A619683" w14:textId="77777777" w:rsidR="00FD533C" w:rsidRPr="00084D45" w:rsidRDefault="00FD533C" w:rsidP="00FD533C">
      <w:pPr>
        <w:numPr>
          <w:ilvl w:val="0"/>
          <w:numId w:val="3"/>
        </w:numPr>
        <w:spacing w:after="0" w:line="240" w:lineRule="auto"/>
        <w:contextualSpacing/>
        <w:rPr>
          <w:rFonts w:ascii="Times New Roman" w:eastAsia="Calibri" w:hAnsi="Times New Roman" w:cs="Times New Roman"/>
          <w:sz w:val="24"/>
          <w:szCs w:val="24"/>
        </w:rPr>
      </w:pPr>
      <w:r w:rsidRPr="00084D45">
        <w:rPr>
          <w:rFonts w:ascii="Times New Roman" w:eastAsia="Calibri" w:hAnsi="Times New Roman" w:cs="Times New Roman"/>
          <w:sz w:val="24"/>
          <w:szCs w:val="24"/>
        </w:rPr>
        <w:t xml:space="preserve">This course should enable students to have a deeper understanding of the natural world and prepare students to evaluate scientific claims critically through an appeal to factual evidence.  </w:t>
      </w:r>
    </w:p>
    <w:p w14:paraId="4CD7F023" w14:textId="77777777" w:rsidR="00FD533C" w:rsidRPr="00084D45" w:rsidRDefault="00FD533C" w:rsidP="00FD533C">
      <w:pPr>
        <w:spacing w:after="0" w:line="240" w:lineRule="auto"/>
        <w:ind w:left="360"/>
        <w:rPr>
          <w:rFonts w:ascii="Times New Roman" w:eastAsia="Calibri" w:hAnsi="Times New Roman" w:cs="Times New Roman"/>
          <w:sz w:val="24"/>
          <w:szCs w:val="24"/>
        </w:rPr>
      </w:pPr>
    </w:p>
    <w:p w14:paraId="132452AC" w14:textId="77777777" w:rsidR="00FD533C" w:rsidRPr="00084D45" w:rsidRDefault="00FD533C" w:rsidP="00FD533C">
      <w:pPr>
        <w:numPr>
          <w:ilvl w:val="1"/>
          <w:numId w:val="3"/>
        </w:numPr>
        <w:spacing w:after="0" w:line="240" w:lineRule="auto"/>
        <w:contextualSpacing/>
        <w:rPr>
          <w:rFonts w:ascii="Times New Roman" w:eastAsia="Calibri" w:hAnsi="Times New Roman" w:cs="Times New Roman"/>
          <w:sz w:val="24"/>
          <w:szCs w:val="24"/>
        </w:rPr>
      </w:pPr>
      <w:r w:rsidRPr="00084D45">
        <w:rPr>
          <w:rFonts w:ascii="Times New Roman" w:eastAsia="Calibri" w:hAnsi="Times New Roman" w:cs="Times New Roman"/>
          <w:sz w:val="24"/>
          <w:szCs w:val="24"/>
        </w:rPr>
        <w:t>Please give an example (or examples) of an assignment(s) that will demonstrate an appropriate depth of understanding of the natural world.</w:t>
      </w:r>
    </w:p>
    <w:p w14:paraId="73844FCC" w14:textId="77777777" w:rsidR="00FD533C" w:rsidRPr="00084D45" w:rsidRDefault="00FD533C" w:rsidP="00FD533C">
      <w:pPr>
        <w:spacing w:after="0" w:line="240" w:lineRule="auto"/>
        <w:rPr>
          <w:rFonts w:ascii="Times New Roman" w:eastAsia="Calibri" w:hAnsi="Times New Roman" w:cs="Times New Roman"/>
          <w:sz w:val="24"/>
          <w:szCs w:val="24"/>
        </w:rPr>
      </w:pPr>
    </w:p>
    <w:p w14:paraId="35F6319B" w14:textId="77777777" w:rsidR="00FD533C" w:rsidRPr="00084D45" w:rsidRDefault="00FD533C" w:rsidP="00FD533C">
      <w:pPr>
        <w:numPr>
          <w:ilvl w:val="1"/>
          <w:numId w:val="3"/>
        </w:numPr>
        <w:spacing w:after="0" w:line="240" w:lineRule="auto"/>
        <w:contextualSpacing/>
        <w:rPr>
          <w:rFonts w:ascii="Times New Roman" w:eastAsia="Calibri" w:hAnsi="Times New Roman" w:cs="Times New Roman"/>
          <w:sz w:val="24"/>
          <w:szCs w:val="24"/>
        </w:rPr>
      </w:pPr>
      <w:r w:rsidRPr="00084D45">
        <w:rPr>
          <w:rFonts w:ascii="Times New Roman" w:eastAsia="Calibri" w:hAnsi="Times New Roman" w:cs="Times New Roman"/>
          <w:sz w:val="24"/>
          <w:szCs w:val="24"/>
        </w:rPr>
        <w:t>Please give an example (or examples) of an assignment(s) of an assignment that will requires students to evaluate scientific claims critically though an appeal to factual evidence.</w:t>
      </w:r>
    </w:p>
    <w:p w14:paraId="40D9E1BF" w14:textId="77777777" w:rsidR="00FD533C" w:rsidRPr="00084D45" w:rsidRDefault="00FD533C" w:rsidP="00FD533C">
      <w:pPr>
        <w:spacing w:after="0" w:line="240" w:lineRule="auto"/>
        <w:rPr>
          <w:rFonts w:ascii="Times New Roman" w:eastAsia="Calibri" w:hAnsi="Times New Roman" w:cs="Times New Roman"/>
          <w:sz w:val="24"/>
          <w:szCs w:val="24"/>
        </w:rPr>
      </w:pPr>
    </w:p>
    <w:p w14:paraId="01B63F72" w14:textId="77777777" w:rsidR="00FD533C" w:rsidRPr="00084D45" w:rsidRDefault="00FD533C" w:rsidP="00FD533C">
      <w:pPr>
        <w:spacing w:after="0" w:line="240" w:lineRule="auto"/>
        <w:rPr>
          <w:rFonts w:ascii="Times New Roman" w:eastAsia="Calibri" w:hAnsi="Times New Roman" w:cs="Times New Roman"/>
          <w:sz w:val="24"/>
          <w:szCs w:val="24"/>
        </w:rPr>
      </w:pPr>
    </w:p>
    <w:p w14:paraId="7D2FB009" w14:textId="77777777" w:rsidR="001D6714" w:rsidRPr="001D6714" w:rsidRDefault="001D6714" w:rsidP="001D6714">
      <w:pPr>
        <w:spacing w:after="0" w:line="240" w:lineRule="auto"/>
        <w:ind w:left="720"/>
        <w:contextualSpacing/>
        <w:jc w:val="center"/>
        <w:rPr>
          <w:rFonts w:ascii="Times New Roman" w:eastAsia="Times" w:hAnsi="Times New Roman" w:cs="Times New Roman"/>
          <w:color w:val="000000" w:themeColor="text1"/>
          <w:sz w:val="24"/>
          <w:szCs w:val="24"/>
        </w:rPr>
      </w:pPr>
      <w:r w:rsidRPr="001D6714">
        <w:rPr>
          <w:rFonts w:ascii="Times New Roman" w:hAnsi="Times New Roman" w:cs="Times New Roman"/>
          <w:sz w:val="24"/>
          <w:szCs w:val="24"/>
        </w:rPr>
        <w:t>***</w:t>
      </w:r>
    </w:p>
    <w:p w14:paraId="29815576" w14:textId="77777777" w:rsidR="001D6714" w:rsidRPr="001D6714" w:rsidRDefault="001D6714" w:rsidP="001D6714">
      <w:pPr>
        <w:spacing w:after="0" w:line="240" w:lineRule="auto"/>
        <w:ind w:left="720"/>
        <w:contextualSpacing/>
        <w:rPr>
          <w:rFonts w:ascii="Times New Roman" w:eastAsia="Times" w:hAnsi="Times New Roman" w:cs="Times New Roman"/>
          <w:color w:val="000000" w:themeColor="text1"/>
          <w:sz w:val="24"/>
          <w:szCs w:val="24"/>
        </w:rPr>
      </w:pPr>
    </w:p>
    <w:p w14:paraId="61B86403" w14:textId="77777777" w:rsidR="001D6714" w:rsidRPr="001D6714" w:rsidRDefault="001D6714" w:rsidP="001D6714">
      <w:pPr>
        <w:spacing w:after="0" w:line="240" w:lineRule="auto"/>
        <w:rPr>
          <w:rFonts w:ascii="Times New Roman" w:eastAsia="Times" w:hAnsi="Times New Roman" w:cs="Times New Roman"/>
          <w:color w:val="000000" w:themeColor="text1"/>
          <w:sz w:val="24"/>
          <w:szCs w:val="24"/>
        </w:rPr>
      </w:pPr>
      <w:r w:rsidRPr="001D6714">
        <w:rPr>
          <w:rFonts w:ascii="Times New Roman" w:eastAsia="Times" w:hAnsi="Times New Roman" w:cs="Times New Roman"/>
          <w:color w:val="000000" w:themeColor="text1"/>
          <w:sz w:val="24"/>
          <w:szCs w:val="24"/>
        </w:rPr>
        <w:t>Will you be applying for a Thematic Encounter or Thematic Focus designation? (Yes/No)</w:t>
      </w:r>
    </w:p>
    <w:p w14:paraId="79E1A040" w14:textId="77777777" w:rsidR="001D6714" w:rsidRPr="001D6714" w:rsidRDefault="001D6714" w:rsidP="001D6714">
      <w:pPr>
        <w:spacing w:after="0" w:line="240" w:lineRule="auto"/>
        <w:ind w:left="720"/>
        <w:contextualSpacing/>
        <w:rPr>
          <w:rFonts w:ascii="Times New Roman" w:eastAsia="Times" w:hAnsi="Times New Roman" w:cs="Times New Roman"/>
          <w:color w:val="000000" w:themeColor="text1"/>
          <w:sz w:val="24"/>
          <w:szCs w:val="24"/>
        </w:rPr>
      </w:pPr>
    </w:p>
    <w:p w14:paraId="5FCDBD4C" w14:textId="77777777" w:rsidR="001D6714" w:rsidRPr="001D6714" w:rsidRDefault="001D6714" w:rsidP="001D6714">
      <w:pPr>
        <w:spacing w:after="0" w:line="240" w:lineRule="auto"/>
        <w:rPr>
          <w:rFonts w:ascii="Times New Roman" w:hAnsi="Times New Roman" w:cs="Times New Roman"/>
          <w:sz w:val="24"/>
          <w:szCs w:val="24"/>
        </w:rPr>
      </w:pPr>
      <w:r w:rsidRPr="001D6714">
        <w:rPr>
          <w:rFonts w:ascii="Times New Roman" w:eastAsia="Times" w:hAnsi="Times New Roman" w:cs="Times New Roman"/>
          <w:color w:val="000000" w:themeColor="text1"/>
          <w:sz w:val="24"/>
          <w:szCs w:val="24"/>
        </w:rPr>
        <w:t>If yes</w:t>
      </w:r>
      <w:r w:rsidRPr="001D6714">
        <w:rPr>
          <w:rFonts w:ascii="Times New Roman" w:hAnsi="Times New Roman" w:cs="Times New Roman"/>
          <w:sz w:val="24"/>
          <w:szCs w:val="24"/>
        </w:rPr>
        <w:t>, you will need to fill out a separate application for either the Thematic Encounter (25% of course at 100, 200, or 300 level) or Thematic Focus (100% of course at 200 or 300 level).</w:t>
      </w:r>
    </w:p>
    <w:p w14:paraId="72E3E4CC" w14:textId="77777777" w:rsidR="001D6714" w:rsidRPr="001D6714" w:rsidRDefault="001D6714" w:rsidP="001D6714">
      <w:pPr>
        <w:spacing w:after="0" w:line="240" w:lineRule="auto"/>
        <w:rPr>
          <w:rFonts w:ascii="Times New Roman" w:hAnsi="Times New Roman" w:cs="Times New Roman"/>
          <w:sz w:val="24"/>
          <w:szCs w:val="24"/>
        </w:rPr>
      </w:pPr>
    </w:p>
    <w:p w14:paraId="2BCD5E4C" w14:textId="77777777" w:rsidR="001D6714" w:rsidRPr="001D6714" w:rsidRDefault="001D6714" w:rsidP="001D6714">
      <w:pPr>
        <w:spacing w:after="0" w:line="240" w:lineRule="auto"/>
        <w:rPr>
          <w:rFonts w:ascii="Times New Roman" w:eastAsia="Times" w:hAnsi="Times New Roman" w:cs="Times New Roman"/>
          <w:color w:val="000000" w:themeColor="text1"/>
          <w:sz w:val="24"/>
          <w:szCs w:val="24"/>
        </w:rPr>
      </w:pPr>
      <w:r w:rsidRPr="001D6714">
        <w:rPr>
          <w:rFonts w:ascii="Times New Roman" w:eastAsia="Times" w:hAnsi="Times New Roman" w:cs="Times New Roman"/>
          <w:color w:val="000000" w:themeColor="text1"/>
          <w:sz w:val="24"/>
          <w:szCs w:val="24"/>
        </w:rPr>
        <w:t>Are you applying for an Engagement or Engagements (maximum 2 pending Senate approval of a different policy)? (Y/N)</w:t>
      </w:r>
    </w:p>
    <w:p w14:paraId="00A74A94" w14:textId="77777777" w:rsidR="001D6714" w:rsidRPr="001D6714" w:rsidRDefault="001D6714" w:rsidP="001D6714">
      <w:pPr>
        <w:spacing w:after="0" w:line="240" w:lineRule="auto"/>
        <w:ind w:left="720"/>
        <w:contextualSpacing/>
        <w:rPr>
          <w:rFonts w:ascii="Times New Roman" w:eastAsia="Times" w:hAnsi="Times New Roman" w:cs="Times New Roman"/>
          <w:color w:val="000000" w:themeColor="text1"/>
          <w:sz w:val="24"/>
          <w:szCs w:val="24"/>
        </w:rPr>
      </w:pPr>
    </w:p>
    <w:p w14:paraId="2CE4AF63" w14:textId="77777777" w:rsidR="001D6714" w:rsidRPr="001D6714" w:rsidRDefault="001D6714" w:rsidP="001D6714">
      <w:pPr>
        <w:spacing w:after="0" w:line="240" w:lineRule="auto"/>
        <w:rPr>
          <w:rFonts w:ascii="Times New Roman" w:eastAsia="Times" w:hAnsi="Times New Roman" w:cs="Times New Roman"/>
          <w:color w:val="000000" w:themeColor="text1"/>
          <w:sz w:val="24"/>
          <w:szCs w:val="24"/>
        </w:rPr>
      </w:pPr>
      <w:r w:rsidRPr="001D6714">
        <w:rPr>
          <w:rFonts w:ascii="Times New Roman" w:eastAsia="Times" w:hAnsi="Times New Roman" w:cs="Times New Roman"/>
          <w:color w:val="000000" w:themeColor="text1"/>
          <w:sz w:val="24"/>
          <w:szCs w:val="24"/>
        </w:rPr>
        <w:t>If yes, you will need to fill out a separate application for all the Engagements that apply (please mark all that apply).</w:t>
      </w:r>
    </w:p>
    <w:p w14:paraId="5C293577" w14:textId="77777777" w:rsidR="001D6714" w:rsidRPr="001D6714" w:rsidRDefault="001D6714" w:rsidP="001D6714">
      <w:pPr>
        <w:spacing w:after="0" w:line="240" w:lineRule="auto"/>
        <w:rPr>
          <w:rFonts w:ascii="Times New Roman" w:eastAsia="Times" w:hAnsi="Times New Roman" w:cs="Times New Roman"/>
          <w:color w:val="000000" w:themeColor="text1"/>
          <w:sz w:val="24"/>
          <w:szCs w:val="24"/>
        </w:rPr>
      </w:pPr>
    </w:p>
    <w:p w14:paraId="33F50D08" w14:textId="77777777" w:rsidR="001D6714" w:rsidRPr="001D6714" w:rsidRDefault="001D6714" w:rsidP="001D6714">
      <w:pPr>
        <w:spacing w:after="0" w:line="240" w:lineRule="auto"/>
        <w:rPr>
          <w:rFonts w:ascii="Times New Roman" w:eastAsia="Times" w:hAnsi="Times New Roman" w:cs="Times New Roman"/>
          <w:color w:val="000000" w:themeColor="text1"/>
          <w:sz w:val="24"/>
          <w:szCs w:val="24"/>
        </w:rPr>
      </w:pPr>
    </w:p>
    <w:p w14:paraId="5B01B230" w14:textId="77777777" w:rsidR="001D6714" w:rsidRPr="001D6714" w:rsidRDefault="001D6714" w:rsidP="001D6714">
      <w:pPr>
        <w:spacing w:after="0" w:line="240" w:lineRule="auto"/>
        <w:rPr>
          <w:rFonts w:ascii="Times New Roman" w:eastAsia="Times" w:hAnsi="Times New Roman" w:cs="Times New Roman"/>
          <w:b/>
          <w:bCs/>
          <w:color w:val="000000" w:themeColor="text1"/>
          <w:sz w:val="24"/>
          <w:szCs w:val="24"/>
        </w:rPr>
      </w:pPr>
      <w:r w:rsidRPr="001D6714">
        <w:rPr>
          <w:rFonts w:ascii="Times New Roman" w:eastAsia="Times" w:hAnsi="Times New Roman" w:cs="Times New Roman"/>
          <w:b/>
          <w:bCs/>
          <w:color w:val="000000" w:themeColor="text1"/>
          <w:sz w:val="24"/>
          <w:szCs w:val="24"/>
        </w:rPr>
        <w:t>For new students entering the 2019 – 2020 academic year, the Common Curriculum will apply until they graduate.</w:t>
      </w:r>
    </w:p>
    <w:p w14:paraId="6B1DC3CF" w14:textId="77777777" w:rsidR="001D6714" w:rsidRPr="001D6714" w:rsidRDefault="001D6714" w:rsidP="001D6714">
      <w:pPr>
        <w:spacing w:after="0" w:line="240" w:lineRule="auto"/>
        <w:rPr>
          <w:rFonts w:ascii="Times New Roman" w:eastAsia="Times" w:hAnsi="Times New Roman" w:cs="Times New Roman"/>
          <w:b/>
          <w:bCs/>
          <w:color w:val="000000" w:themeColor="text1"/>
          <w:sz w:val="24"/>
          <w:szCs w:val="24"/>
        </w:rPr>
      </w:pPr>
    </w:p>
    <w:p w14:paraId="6FEDDD5F" w14:textId="77777777" w:rsidR="001D6714" w:rsidRPr="001D6714" w:rsidRDefault="001D6714" w:rsidP="001D6714">
      <w:pPr>
        <w:spacing w:after="0" w:line="240" w:lineRule="auto"/>
        <w:rPr>
          <w:rFonts w:ascii="Times New Roman" w:eastAsia="Times" w:hAnsi="Times New Roman" w:cs="Times New Roman"/>
          <w:color w:val="000000" w:themeColor="text1"/>
          <w:sz w:val="24"/>
          <w:szCs w:val="24"/>
        </w:rPr>
      </w:pPr>
      <w:r w:rsidRPr="001D6714">
        <w:rPr>
          <w:rFonts w:ascii="Times New Roman" w:eastAsia="Times" w:hAnsi="Times New Roman" w:cs="Times New Roman"/>
          <w:color w:val="000000" w:themeColor="text1"/>
          <w:sz w:val="24"/>
          <w:szCs w:val="24"/>
        </w:rPr>
        <w:t>Does your course currently carry any Common Curriculum designations? (Y/N)</w:t>
      </w:r>
    </w:p>
    <w:p w14:paraId="13528B69" w14:textId="77777777" w:rsidR="001D6714" w:rsidRPr="001D6714" w:rsidRDefault="001D6714" w:rsidP="001D6714">
      <w:pPr>
        <w:spacing w:after="0" w:line="240" w:lineRule="auto"/>
        <w:rPr>
          <w:rFonts w:ascii="Times New Roman" w:eastAsia="Times" w:hAnsi="Times New Roman" w:cs="Times New Roman"/>
          <w:color w:val="000000" w:themeColor="text1"/>
          <w:sz w:val="24"/>
          <w:szCs w:val="24"/>
        </w:rPr>
      </w:pPr>
    </w:p>
    <w:p w14:paraId="60BB0566" w14:textId="77777777" w:rsidR="001D6714" w:rsidRPr="001D6714" w:rsidRDefault="001D6714" w:rsidP="001D6714">
      <w:pPr>
        <w:spacing w:after="0" w:line="240" w:lineRule="auto"/>
        <w:rPr>
          <w:rFonts w:ascii="Times New Roman" w:eastAsia="Times" w:hAnsi="Times New Roman" w:cs="Times New Roman"/>
          <w:color w:val="000000" w:themeColor="text1"/>
          <w:sz w:val="24"/>
          <w:szCs w:val="24"/>
        </w:rPr>
      </w:pPr>
      <w:r w:rsidRPr="001D6714">
        <w:rPr>
          <w:rFonts w:ascii="Times New Roman" w:eastAsia="Times" w:hAnsi="Times New Roman" w:cs="Times New Roman"/>
          <w:color w:val="000000" w:themeColor="text1"/>
          <w:sz w:val="24"/>
          <w:szCs w:val="24"/>
        </w:rPr>
        <w:t>If so, please list: (text box)</w:t>
      </w:r>
    </w:p>
    <w:p w14:paraId="01CAF41F" w14:textId="77777777" w:rsidR="001D6714" w:rsidRPr="001D6714" w:rsidRDefault="001D6714" w:rsidP="001D6714">
      <w:pPr>
        <w:spacing w:after="0" w:line="240" w:lineRule="auto"/>
        <w:rPr>
          <w:rFonts w:ascii="Times New Roman" w:eastAsia="Times" w:hAnsi="Times New Roman" w:cs="Times New Roman"/>
          <w:color w:val="000000" w:themeColor="text1"/>
          <w:sz w:val="24"/>
          <w:szCs w:val="24"/>
        </w:rPr>
      </w:pPr>
    </w:p>
    <w:p w14:paraId="62040979" w14:textId="77777777" w:rsidR="001D6714" w:rsidRPr="001D6714" w:rsidRDefault="001D6714" w:rsidP="001D6714">
      <w:pPr>
        <w:spacing w:after="0" w:line="240" w:lineRule="auto"/>
        <w:rPr>
          <w:rFonts w:ascii="Times New Roman" w:eastAsia="Times" w:hAnsi="Times New Roman" w:cs="Times New Roman"/>
          <w:color w:val="000000" w:themeColor="text1"/>
          <w:sz w:val="24"/>
          <w:szCs w:val="24"/>
        </w:rPr>
      </w:pPr>
      <w:r w:rsidRPr="001D6714">
        <w:rPr>
          <w:rFonts w:ascii="Times New Roman" w:eastAsia="Times" w:hAnsi="Times New Roman" w:cs="Times New Roman"/>
          <w:color w:val="000000" w:themeColor="text1"/>
          <w:sz w:val="24"/>
          <w:szCs w:val="24"/>
        </w:rPr>
        <w:t>Will you be applying for any Common Curriculum designations? (Y/N)</w:t>
      </w:r>
    </w:p>
    <w:p w14:paraId="4FEC5A59" w14:textId="77777777" w:rsidR="001D6714" w:rsidRPr="001D6714" w:rsidRDefault="001D6714" w:rsidP="001D6714">
      <w:pPr>
        <w:spacing w:after="0" w:line="240" w:lineRule="auto"/>
        <w:rPr>
          <w:sz w:val="24"/>
          <w:szCs w:val="24"/>
        </w:rPr>
      </w:pPr>
    </w:p>
    <w:p w14:paraId="3952EEAF" w14:textId="77777777" w:rsidR="001D6714" w:rsidRPr="001D6714" w:rsidRDefault="001D6714" w:rsidP="001D6714">
      <w:pPr>
        <w:spacing w:after="0" w:line="240" w:lineRule="auto"/>
        <w:rPr>
          <w:rFonts w:ascii="Times New Roman" w:eastAsia="Times" w:hAnsi="Times New Roman" w:cs="Times New Roman"/>
          <w:color w:val="000000" w:themeColor="text1"/>
          <w:sz w:val="24"/>
          <w:szCs w:val="24"/>
        </w:rPr>
      </w:pPr>
      <w:r w:rsidRPr="001D6714">
        <w:rPr>
          <w:rFonts w:ascii="Times New Roman" w:eastAsia="Times" w:hAnsi="Times New Roman" w:cs="Times New Roman"/>
          <w:color w:val="000000" w:themeColor="text1"/>
          <w:sz w:val="24"/>
          <w:szCs w:val="24"/>
        </w:rPr>
        <w:t>If so, please list: (text box)</w:t>
      </w:r>
    </w:p>
    <w:p w14:paraId="5FDDE2A0" w14:textId="77777777" w:rsidR="007910CA" w:rsidRPr="00084D45" w:rsidRDefault="00B84350" w:rsidP="001D6714">
      <w:pPr>
        <w:spacing w:beforeAutospacing="1" w:after="0" w:afterAutospacing="1" w:line="240" w:lineRule="auto"/>
        <w:rPr>
          <w:rFonts w:ascii="Times New Roman" w:hAnsi="Times New Roman" w:cs="Times New Roman"/>
          <w:sz w:val="24"/>
          <w:szCs w:val="24"/>
        </w:rPr>
      </w:pPr>
    </w:p>
    <w:sectPr w:rsidR="007910CA" w:rsidRPr="00084D45" w:rsidSect="006278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A53FC" w14:textId="77777777" w:rsidR="00B84350" w:rsidRDefault="00B84350">
      <w:pPr>
        <w:spacing w:after="0" w:line="240" w:lineRule="auto"/>
      </w:pPr>
      <w:r>
        <w:separator/>
      </w:r>
    </w:p>
  </w:endnote>
  <w:endnote w:type="continuationSeparator" w:id="0">
    <w:p w14:paraId="2EB6A39A" w14:textId="77777777" w:rsidR="00B84350" w:rsidRDefault="00B84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12D6E" w14:textId="77777777" w:rsidR="00B84350" w:rsidRDefault="00B84350">
      <w:pPr>
        <w:spacing w:after="0" w:line="240" w:lineRule="auto"/>
      </w:pPr>
      <w:r>
        <w:separator/>
      </w:r>
    </w:p>
  </w:footnote>
  <w:footnote w:type="continuationSeparator" w:id="0">
    <w:p w14:paraId="72C3E22C" w14:textId="77777777" w:rsidR="00B84350" w:rsidRDefault="00B84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5190" w14:textId="77777777" w:rsidR="00986A2F" w:rsidRPr="00FD533C" w:rsidRDefault="00B84350" w:rsidP="00986A2F">
    <w:pPr>
      <w:pStyle w:val="Header"/>
      <w:rPr>
        <w:rFonts w:cs="Calibri"/>
        <w:b/>
        <w:sz w:val="28"/>
        <w:szCs w:val="28"/>
      </w:rPr>
    </w:pPr>
    <w:bookmarkStart w:id="2" w:name="_Hlk9499636"/>
    <w:bookmarkStart w:id="3" w:name="_Hlk9499637"/>
    <w:bookmarkStart w:id="4" w:name="_Hlk9499942"/>
    <w:bookmarkStart w:id="5" w:name="_Hlk9499943"/>
    <w:r>
      <w:rPr>
        <w:rFonts w:cs="Calibri"/>
        <w:b/>
        <w:noProof/>
        <w:sz w:val="28"/>
        <w:szCs w:val="28"/>
      </w:rPr>
      <w:pict w14:anchorId="2AFA0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1982705"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5a5a5a" stroked="f">
          <v:fill opacity=".5"/>
          <v:textpath style="font-family:&quot;Calibri&quot;;font-size:1pt" string="DRAFT"/>
          <w10:wrap anchorx="margin" anchory="margin"/>
        </v:shape>
      </w:pict>
    </w:r>
    <w:r w:rsidR="00FD533C" w:rsidRPr="00FD533C">
      <w:rPr>
        <w:rFonts w:cs="Calibri"/>
        <w:b/>
        <w:sz w:val="28"/>
        <w:szCs w:val="28"/>
      </w:rPr>
      <w:t>DRAFT FORM – SUBMISSIONS WILL NOT BE FORMALLY REVIEWED BY GECC</w:t>
    </w:r>
    <w:bookmarkEnd w:id="2"/>
    <w:bookmarkEnd w:id="3"/>
    <w:bookmarkEnd w:id="4"/>
    <w:bookmarkEnd w:id="5"/>
  </w:p>
  <w:p w14:paraId="7966B349" w14:textId="77777777" w:rsidR="00986A2F" w:rsidRDefault="00B843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A9F"/>
    <w:multiLevelType w:val="hybridMultilevel"/>
    <w:tmpl w:val="7092004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476AC"/>
    <w:multiLevelType w:val="hybridMultilevel"/>
    <w:tmpl w:val="02B06DCE"/>
    <w:lvl w:ilvl="0" w:tplc="D2628FA8">
      <w:start w:val="1"/>
      <w:numFmt w:val="decimal"/>
      <w:lvlText w:val="%1."/>
      <w:lvlJc w:val="left"/>
      <w:pPr>
        <w:ind w:left="720" w:hanging="360"/>
      </w:pPr>
    </w:lvl>
    <w:lvl w:ilvl="1" w:tplc="97CAD02E">
      <w:start w:val="1"/>
      <w:numFmt w:val="lowerLetter"/>
      <w:lvlText w:val="%2."/>
      <w:lvlJc w:val="left"/>
      <w:pPr>
        <w:ind w:left="1440" w:hanging="360"/>
      </w:pPr>
    </w:lvl>
    <w:lvl w:ilvl="2" w:tplc="ECD41128">
      <w:start w:val="1"/>
      <w:numFmt w:val="lowerRoman"/>
      <w:lvlText w:val="%3."/>
      <w:lvlJc w:val="right"/>
      <w:pPr>
        <w:ind w:left="2160" w:hanging="180"/>
      </w:pPr>
    </w:lvl>
    <w:lvl w:ilvl="3" w:tplc="A8BCE0C2">
      <w:start w:val="1"/>
      <w:numFmt w:val="decimal"/>
      <w:lvlText w:val="%4."/>
      <w:lvlJc w:val="left"/>
      <w:pPr>
        <w:ind w:left="2880" w:hanging="360"/>
      </w:pPr>
    </w:lvl>
    <w:lvl w:ilvl="4" w:tplc="0218CD7C">
      <w:start w:val="1"/>
      <w:numFmt w:val="lowerLetter"/>
      <w:lvlText w:val="%5."/>
      <w:lvlJc w:val="left"/>
      <w:pPr>
        <w:ind w:left="3600" w:hanging="360"/>
      </w:pPr>
    </w:lvl>
    <w:lvl w:ilvl="5" w:tplc="86700116">
      <w:start w:val="1"/>
      <w:numFmt w:val="lowerRoman"/>
      <w:lvlText w:val="%6."/>
      <w:lvlJc w:val="right"/>
      <w:pPr>
        <w:ind w:left="4320" w:hanging="180"/>
      </w:pPr>
    </w:lvl>
    <w:lvl w:ilvl="6" w:tplc="E42872D6">
      <w:start w:val="1"/>
      <w:numFmt w:val="decimal"/>
      <w:lvlText w:val="%7."/>
      <w:lvlJc w:val="left"/>
      <w:pPr>
        <w:ind w:left="5040" w:hanging="360"/>
      </w:pPr>
    </w:lvl>
    <w:lvl w:ilvl="7" w:tplc="13F27F60">
      <w:start w:val="1"/>
      <w:numFmt w:val="lowerLetter"/>
      <w:lvlText w:val="%8."/>
      <w:lvlJc w:val="left"/>
      <w:pPr>
        <w:ind w:left="5760" w:hanging="360"/>
      </w:pPr>
    </w:lvl>
    <w:lvl w:ilvl="8" w:tplc="EA844AB4">
      <w:start w:val="1"/>
      <w:numFmt w:val="lowerRoman"/>
      <w:lvlText w:val="%9."/>
      <w:lvlJc w:val="right"/>
      <w:pPr>
        <w:ind w:left="6480" w:hanging="180"/>
      </w:pPr>
    </w:lvl>
  </w:abstractNum>
  <w:abstractNum w:abstractNumId="2" w15:restartNumberingAfterBreak="0">
    <w:nsid w:val="13514E8C"/>
    <w:multiLevelType w:val="hybridMultilevel"/>
    <w:tmpl w:val="459493DC"/>
    <w:lvl w:ilvl="0" w:tplc="DAA20710">
      <w:start w:val="1"/>
      <w:numFmt w:val="decimal"/>
      <w:lvlText w:val="%1."/>
      <w:lvlJc w:val="left"/>
      <w:pPr>
        <w:ind w:left="720" w:hanging="360"/>
      </w:pPr>
    </w:lvl>
    <w:lvl w:ilvl="1" w:tplc="3B0ED218">
      <w:start w:val="1"/>
      <w:numFmt w:val="lowerLetter"/>
      <w:lvlText w:val="%2."/>
      <w:lvlJc w:val="left"/>
      <w:pPr>
        <w:ind w:left="1440" w:hanging="360"/>
      </w:pPr>
    </w:lvl>
    <w:lvl w:ilvl="2" w:tplc="8FA88E04">
      <w:start w:val="1"/>
      <w:numFmt w:val="lowerRoman"/>
      <w:lvlText w:val="%3."/>
      <w:lvlJc w:val="right"/>
      <w:pPr>
        <w:ind w:left="2160" w:hanging="180"/>
      </w:pPr>
    </w:lvl>
    <w:lvl w:ilvl="3" w:tplc="B192C2C0">
      <w:start w:val="1"/>
      <w:numFmt w:val="decimal"/>
      <w:lvlText w:val="%4."/>
      <w:lvlJc w:val="left"/>
      <w:pPr>
        <w:ind w:left="2880" w:hanging="360"/>
      </w:pPr>
    </w:lvl>
    <w:lvl w:ilvl="4" w:tplc="C6680FFE">
      <w:start w:val="1"/>
      <w:numFmt w:val="lowerLetter"/>
      <w:lvlText w:val="%5."/>
      <w:lvlJc w:val="left"/>
      <w:pPr>
        <w:ind w:left="3600" w:hanging="360"/>
      </w:pPr>
    </w:lvl>
    <w:lvl w:ilvl="5" w:tplc="C7CC7290">
      <w:start w:val="1"/>
      <w:numFmt w:val="lowerRoman"/>
      <w:lvlText w:val="%6."/>
      <w:lvlJc w:val="right"/>
      <w:pPr>
        <w:ind w:left="4320" w:hanging="180"/>
      </w:pPr>
    </w:lvl>
    <w:lvl w:ilvl="6" w:tplc="96A4A7FA">
      <w:start w:val="1"/>
      <w:numFmt w:val="decimal"/>
      <w:lvlText w:val="%7."/>
      <w:lvlJc w:val="left"/>
      <w:pPr>
        <w:ind w:left="5040" w:hanging="360"/>
      </w:pPr>
    </w:lvl>
    <w:lvl w:ilvl="7" w:tplc="B86219BC">
      <w:start w:val="1"/>
      <w:numFmt w:val="lowerLetter"/>
      <w:lvlText w:val="%8."/>
      <w:lvlJc w:val="left"/>
      <w:pPr>
        <w:ind w:left="5760" w:hanging="360"/>
      </w:pPr>
    </w:lvl>
    <w:lvl w:ilvl="8" w:tplc="8514E2D2">
      <w:start w:val="1"/>
      <w:numFmt w:val="lowerRoman"/>
      <w:lvlText w:val="%9."/>
      <w:lvlJc w:val="right"/>
      <w:pPr>
        <w:ind w:left="6480" w:hanging="180"/>
      </w:pPr>
    </w:lvl>
  </w:abstractNum>
  <w:abstractNum w:abstractNumId="3" w15:restartNumberingAfterBreak="0">
    <w:nsid w:val="16987D06"/>
    <w:multiLevelType w:val="hybridMultilevel"/>
    <w:tmpl w:val="47783440"/>
    <w:lvl w:ilvl="0" w:tplc="CD0CC358">
      <w:start w:val="1"/>
      <w:numFmt w:val="decimal"/>
      <w:lvlText w:val="%1."/>
      <w:lvlJc w:val="left"/>
      <w:pPr>
        <w:ind w:left="720" w:hanging="360"/>
      </w:pPr>
    </w:lvl>
    <w:lvl w:ilvl="1" w:tplc="ADA2C504">
      <w:start w:val="1"/>
      <w:numFmt w:val="lowerLetter"/>
      <w:lvlText w:val="%2."/>
      <w:lvlJc w:val="left"/>
      <w:pPr>
        <w:ind w:left="1440" w:hanging="360"/>
      </w:pPr>
    </w:lvl>
    <w:lvl w:ilvl="2" w:tplc="A1ACE4DE">
      <w:start w:val="1"/>
      <w:numFmt w:val="lowerRoman"/>
      <w:lvlText w:val="%3."/>
      <w:lvlJc w:val="right"/>
      <w:pPr>
        <w:ind w:left="2160" w:hanging="180"/>
      </w:pPr>
    </w:lvl>
    <w:lvl w:ilvl="3" w:tplc="CD98CDE6">
      <w:start w:val="1"/>
      <w:numFmt w:val="decimal"/>
      <w:lvlText w:val="%4."/>
      <w:lvlJc w:val="left"/>
      <w:pPr>
        <w:ind w:left="2880" w:hanging="360"/>
      </w:pPr>
    </w:lvl>
    <w:lvl w:ilvl="4" w:tplc="AD7E7126">
      <w:start w:val="1"/>
      <w:numFmt w:val="lowerLetter"/>
      <w:lvlText w:val="%5."/>
      <w:lvlJc w:val="left"/>
      <w:pPr>
        <w:ind w:left="3600" w:hanging="360"/>
      </w:pPr>
    </w:lvl>
    <w:lvl w:ilvl="5" w:tplc="39E0D816">
      <w:start w:val="1"/>
      <w:numFmt w:val="lowerRoman"/>
      <w:lvlText w:val="%6."/>
      <w:lvlJc w:val="right"/>
      <w:pPr>
        <w:ind w:left="4320" w:hanging="180"/>
      </w:pPr>
    </w:lvl>
    <w:lvl w:ilvl="6" w:tplc="60EA8934">
      <w:start w:val="1"/>
      <w:numFmt w:val="decimal"/>
      <w:lvlText w:val="%7."/>
      <w:lvlJc w:val="left"/>
      <w:pPr>
        <w:ind w:left="5040" w:hanging="360"/>
      </w:pPr>
    </w:lvl>
    <w:lvl w:ilvl="7" w:tplc="229E5EA4">
      <w:start w:val="1"/>
      <w:numFmt w:val="lowerLetter"/>
      <w:lvlText w:val="%8."/>
      <w:lvlJc w:val="left"/>
      <w:pPr>
        <w:ind w:left="5760" w:hanging="360"/>
      </w:pPr>
    </w:lvl>
    <w:lvl w:ilvl="8" w:tplc="1D161814">
      <w:start w:val="1"/>
      <w:numFmt w:val="lowerRoman"/>
      <w:lvlText w:val="%9."/>
      <w:lvlJc w:val="right"/>
      <w:pPr>
        <w:ind w:left="6480" w:hanging="180"/>
      </w:pPr>
    </w:lvl>
  </w:abstractNum>
  <w:abstractNum w:abstractNumId="4" w15:restartNumberingAfterBreak="0">
    <w:nsid w:val="5DFE2BA6"/>
    <w:multiLevelType w:val="hybridMultilevel"/>
    <w:tmpl w:val="8438FBF4"/>
    <w:lvl w:ilvl="0" w:tplc="77C66C88">
      <w:start w:val="1"/>
      <w:numFmt w:val="decimal"/>
      <w:lvlText w:val="%1."/>
      <w:lvlJc w:val="left"/>
      <w:pPr>
        <w:ind w:left="720" w:hanging="360"/>
      </w:pPr>
    </w:lvl>
    <w:lvl w:ilvl="1" w:tplc="28906360">
      <w:start w:val="1"/>
      <w:numFmt w:val="lowerLetter"/>
      <w:lvlText w:val="%2."/>
      <w:lvlJc w:val="left"/>
      <w:pPr>
        <w:ind w:left="1440" w:hanging="360"/>
      </w:pPr>
    </w:lvl>
    <w:lvl w:ilvl="2" w:tplc="EBAA7B5E">
      <w:start w:val="1"/>
      <w:numFmt w:val="lowerRoman"/>
      <w:lvlText w:val="%3."/>
      <w:lvlJc w:val="right"/>
      <w:pPr>
        <w:ind w:left="2160" w:hanging="180"/>
      </w:pPr>
    </w:lvl>
    <w:lvl w:ilvl="3" w:tplc="22D25E9E">
      <w:start w:val="1"/>
      <w:numFmt w:val="decimal"/>
      <w:lvlText w:val="%4."/>
      <w:lvlJc w:val="left"/>
      <w:pPr>
        <w:ind w:left="2880" w:hanging="360"/>
      </w:pPr>
    </w:lvl>
    <w:lvl w:ilvl="4" w:tplc="43903DE8">
      <w:start w:val="1"/>
      <w:numFmt w:val="lowerLetter"/>
      <w:lvlText w:val="%5."/>
      <w:lvlJc w:val="left"/>
      <w:pPr>
        <w:ind w:left="3600" w:hanging="360"/>
      </w:pPr>
    </w:lvl>
    <w:lvl w:ilvl="5" w:tplc="402085B8">
      <w:start w:val="1"/>
      <w:numFmt w:val="lowerRoman"/>
      <w:lvlText w:val="%6."/>
      <w:lvlJc w:val="right"/>
      <w:pPr>
        <w:ind w:left="4320" w:hanging="180"/>
      </w:pPr>
    </w:lvl>
    <w:lvl w:ilvl="6" w:tplc="5EB8439A">
      <w:start w:val="1"/>
      <w:numFmt w:val="decimal"/>
      <w:lvlText w:val="%7."/>
      <w:lvlJc w:val="left"/>
      <w:pPr>
        <w:ind w:left="5040" w:hanging="360"/>
      </w:pPr>
    </w:lvl>
    <w:lvl w:ilvl="7" w:tplc="B5E23F5C">
      <w:start w:val="1"/>
      <w:numFmt w:val="lowerLetter"/>
      <w:lvlText w:val="%8."/>
      <w:lvlJc w:val="left"/>
      <w:pPr>
        <w:ind w:left="5760" w:hanging="360"/>
      </w:pPr>
    </w:lvl>
    <w:lvl w:ilvl="8" w:tplc="420E70A6">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3C"/>
    <w:rsid w:val="00084D45"/>
    <w:rsid w:val="001D6714"/>
    <w:rsid w:val="001F5F7F"/>
    <w:rsid w:val="006D1995"/>
    <w:rsid w:val="0083653D"/>
    <w:rsid w:val="009D25D3"/>
    <w:rsid w:val="00A43D9E"/>
    <w:rsid w:val="00AA182C"/>
    <w:rsid w:val="00B00A6D"/>
    <w:rsid w:val="00B84350"/>
    <w:rsid w:val="00CC7813"/>
    <w:rsid w:val="00F628BF"/>
    <w:rsid w:val="00F94E93"/>
    <w:rsid w:val="00FD5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D2ABF4"/>
  <w15:chartTrackingRefBased/>
  <w15:docId w15:val="{7C855E48-B000-4122-AE85-3C44FFBE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53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33C"/>
  </w:style>
  <w:style w:type="paragraph" w:styleId="BalloonText">
    <w:name w:val="Balloon Text"/>
    <w:basedOn w:val="Normal"/>
    <w:link w:val="BalloonTextChar"/>
    <w:uiPriority w:val="99"/>
    <w:semiHidden/>
    <w:unhideWhenUsed/>
    <w:rsid w:val="001F5F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5F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Chetty, Sunil</dc:creator>
  <cp:keywords/>
  <dc:description/>
  <cp:lastModifiedBy>Chetty, Sunil</cp:lastModifiedBy>
  <cp:revision>3</cp:revision>
  <dcterms:created xsi:type="dcterms:W3CDTF">2019-06-18T18:25:00Z</dcterms:created>
  <dcterms:modified xsi:type="dcterms:W3CDTF">2019-06-18T18:48:00Z</dcterms:modified>
</cp:coreProperties>
</file>