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532" w:rsidRPr="00C61B42" w:rsidRDefault="006F7AFD" w:rsidP="00813532">
      <w:pPr>
        <w:jc w:val="center"/>
        <w:rPr>
          <w:rFonts w:cstheme="minorHAnsi"/>
          <w:b/>
          <w:sz w:val="32"/>
          <w:szCs w:val="28"/>
        </w:rPr>
      </w:pPr>
      <w:bookmarkStart w:id="0" w:name="_GoBack"/>
      <w:bookmarkEnd w:id="0"/>
      <w:r w:rsidRPr="00C61B42">
        <w:rPr>
          <w:rFonts w:cstheme="minorHAnsi"/>
          <w:b/>
          <w:sz w:val="32"/>
          <w:szCs w:val="28"/>
        </w:rPr>
        <w:t>How do I complete the Common Curriculum?</w:t>
      </w:r>
    </w:p>
    <w:p w:rsidR="006F7AFD" w:rsidRPr="006F7AFD" w:rsidRDefault="006F7AFD" w:rsidP="006F7AFD">
      <w:pPr>
        <w:rPr>
          <w:rFonts w:cstheme="minorHAnsi"/>
          <w:szCs w:val="28"/>
        </w:rPr>
      </w:pPr>
      <w:r w:rsidRPr="006F7AFD">
        <w:rPr>
          <w:rFonts w:cstheme="minorHAnsi"/>
          <w:szCs w:val="28"/>
        </w:rPr>
        <w:t xml:space="preserve">This guide is designed </w:t>
      </w:r>
      <w:r w:rsidR="00C61B42">
        <w:rPr>
          <w:rFonts w:cstheme="minorHAnsi"/>
          <w:szCs w:val="28"/>
        </w:rPr>
        <w:t>to assist</w:t>
      </w:r>
      <w:r w:rsidRPr="006F7AFD">
        <w:rPr>
          <w:rFonts w:cstheme="minorHAnsi"/>
          <w:szCs w:val="28"/>
        </w:rPr>
        <w:t xml:space="preserve"> </w:t>
      </w:r>
    </w:p>
    <w:p w:rsidR="006F7AFD" w:rsidRPr="006F7AFD" w:rsidRDefault="006F7AFD" w:rsidP="006F7AFD">
      <w:pPr>
        <w:pStyle w:val="ListParagraph"/>
        <w:numPr>
          <w:ilvl w:val="0"/>
          <w:numId w:val="1"/>
        </w:numPr>
        <w:rPr>
          <w:rFonts w:cstheme="minorHAnsi"/>
          <w:szCs w:val="28"/>
        </w:rPr>
      </w:pPr>
      <w:r w:rsidRPr="006F7AFD">
        <w:rPr>
          <w:rFonts w:cstheme="minorHAnsi"/>
          <w:szCs w:val="28"/>
        </w:rPr>
        <w:t xml:space="preserve">New Students – </w:t>
      </w:r>
      <w:r w:rsidR="00C61B42">
        <w:rPr>
          <w:rFonts w:cstheme="minorHAnsi"/>
          <w:szCs w:val="28"/>
        </w:rPr>
        <w:t>t</w:t>
      </w:r>
      <w:r w:rsidRPr="006F7AFD">
        <w:rPr>
          <w:rFonts w:cstheme="minorHAnsi"/>
          <w:szCs w:val="28"/>
        </w:rPr>
        <w:t>hose who entered Spring 2020 or earlier</w:t>
      </w:r>
    </w:p>
    <w:p w:rsidR="006F7AFD" w:rsidRDefault="006F7AFD" w:rsidP="006F7AFD">
      <w:pPr>
        <w:pStyle w:val="ListParagraph"/>
        <w:numPr>
          <w:ilvl w:val="0"/>
          <w:numId w:val="1"/>
        </w:numPr>
        <w:rPr>
          <w:rFonts w:cstheme="minorHAnsi"/>
          <w:szCs w:val="28"/>
        </w:rPr>
      </w:pPr>
      <w:r w:rsidRPr="006F7AFD">
        <w:rPr>
          <w:rFonts w:cstheme="minorHAnsi"/>
          <w:szCs w:val="28"/>
        </w:rPr>
        <w:t>Transfer Student</w:t>
      </w:r>
      <w:r>
        <w:rPr>
          <w:rFonts w:cstheme="minorHAnsi"/>
          <w:szCs w:val="28"/>
        </w:rPr>
        <w:t>s</w:t>
      </w:r>
      <w:r w:rsidRPr="006F7AFD">
        <w:rPr>
          <w:rFonts w:cstheme="minorHAnsi"/>
          <w:szCs w:val="28"/>
        </w:rPr>
        <w:t xml:space="preserve"> – </w:t>
      </w:r>
      <w:r w:rsidR="00C61B42">
        <w:rPr>
          <w:rFonts w:cstheme="minorHAnsi"/>
          <w:szCs w:val="28"/>
        </w:rPr>
        <w:t>t</w:t>
      </w:r>
      <w:r w:rsidRPr="006F7AFD">
        <w:rPr>
          <w:rFonts w:cstheme="minorHAnsi"/>
          <w:szCs w:val="28"/>
        </w:rPr>
        <w:t>hose who entered Spring 2021 or earlier</w:t>
      </w:r>
    </w:p>
    <w:p w:rsidR="006F7AFD" w:rsidRPr="00C61B42" w:rsidRDefault="006F7AFD" w:rsidP="006F7AFD">
      <w:pPr>
        <w:rPr>
          <w:rFonts w:cstheme="minorHAnsi"/>
          <w:b/>
          <w:sz w:val="28"/>
          <w:szCs w:val="28"/>
        </w:rPr>
      </w:pPr>
      <w:r w:rsidRPr="00C61B42">
        <w:rPr>
          <w:rFonts w:cstheme="minorHAnsi"/>
          <w:b/>
          <w:sz w:val="28"/>
          <w:szCs w:val="28"/>
        </w:rPr>
        <w:t>How does this guide work?</w:t>
      </w:r>
    </w:p>
    <w:p w:rsidR="006F7AFD" w:rsidRDefault="006F7AFD" w:rsidP="006F7AFD">
      <w:pPr>
        <w:rPr>
          <w:rFonts w:cstheme="minorHAnsi"/>
          <w:szCs w:val="28"/>
        </w:rPr>
      </w:pPr>
      <w:r>
        <w:rPr>
          <w:rFonts w:cstheme="minorHAnsi"/>
          <w:szCs w:val="28"/>
        </w:rPr>
        <w:t xml:space="preserve">If you are a student who needs to complete the Common Curriculum, then you begin by locating the requirement you wish to fulfill in the first column. The second column is the type of course you would need to </w:t>
      </w:r>
      <w:r w:rsidR="00C61B42">
        <w:rPr>
          <w:rFonts w:cstheme="minorHAnsi"/>
          <w:szCs w:val="28"/>
        </w:rPr>
        <w:t>register for starting in Fall 2020 to successfully complete your remaining Common C</w:t>
      </w:r>
      <w:r>
        <w:rPr>
          <w:rFonts w:cstheme="minorHAnsi"/>
          <w:szCs w:val="28"/>
        </w:rPr>
        <w:t>urriculum</w:t>
      </w:r>
      <w:r w:rsidR="00C61B42">
        <w:rPr>
          <w:rFonts w:cstheme="minorHAnsi"/>
          <w:szCs w:val="28"/>
        </w:rPr>
        <w:t xml:space="preserve"> </w:t>
      </w:r>
      <w:proofErr w:type="spellStart"/>
      <w:r w:rsidR="00C61B42">
        <w:rPr>
          <w:rFonts w:cstheme="minorHAnsi"/>
          <w:szCs w:val="28"/>
        </w:rPr>
        <w:t>requirments</w:t>
      </w:r>
      <w:proofErr w:type="spellEnd"/>
      <w:r>
        <w:rPr>
          <w:rFonts w:cstheme="minorHAnsi"/>
          <w:szCs w:val="28"/>
        </w:rPr>
        <w:t xml:space="preserve">. </w:t>
      </w:r>
    </w:p>
    <w:p w:rsidR="00C61B42" w:rsidRDefault="00C61B42" w:rsidP="006F7AFD">
      <w:pPr>
        <w:rPr>
          <w:rFonts w:cstheme="minorHAnsi"/>
          <w:szCs w:val="28"/>
        </w:rPr>
      </w:pPr>
      <w:r w:rsidRPr="00C61B42">
        <w:rPr>
          <w:rFonts w:cstheme="minorHAnsi"/>
          <w:b/>
          <w:szCs w:val="28"/>
        </w:rPr>
        <w:t>Special Note:</w:t>
      </w:r>
      <w:r>
        <w:rPr>
          <w:rFonts w:cstheme="minorHAnsi"/>
          <w:szCs w:val="28"/>
        </w:rPr>
        <w:t xml:space="preserve"> A Cultural and Social Difference: Identities (CI) course fulfills </w:t>
      </w:r>
      <w:r w:rsidRPr="00C61B42">
        <w:rPr>
          <w:rFonts w:cstheme="minorHAnsi"/>
          <w:b/>
          <w:szCs w:val="28"/>
          <w:u w:val="single"/>
        </w:rPr>
        <w:t>BOTH</w:t>
      </w:r>
      <w:r>
        <w:rPr>
          <w:rFonts w:cstheme="minorHAnsi"/>
          <w:szCs w:val="28"/>
        </w:rPr>
        <w:t xml:space="preserve"> the Gender (GE) </w:t>
      </w:r>
      <w:r w:rsidRPr="00C61B42">
        <w:rPr>
          <w:rFonts w:cstheme="minorHAnsi"/>
          <w:b/>
          <w:szCs w:val="28"/>
          <w:u w:val="single"/>
        </w:rPr>
        <w:t>AND</w:t>
      </w:r>
      <w:r>
        <w:rPr>
          <w:rFonts w:cstheme="minorHAnsi"/>
          <w:szCs w:val="28"/>
        </w:rPr>
        <w:t xml:space="preserve"> Intercultural Learning (IC) requirements.</w:t>
      </w:r>
    </w:p>
    <w:p w:rsidR="00C61B42" w:rsidRPr="006F7AFD" w:rsidRDefault="00C61B42" w:rsidP="006F7AFD">
      <w:pPr>
        <w:rPr>
          <w:rFonts w:cstheme="minorHAnsi"/>
          <w:szCs w:val="28"/>
        </w:rPr>
      </w:pP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310"/>
        <w:gridCol w:w="4685"/>
      </w:tblGrid>
      <w:tr w:rsidR="00813532" w:rsidTr="00C61B42">
        <w:trPr>
          <w:jc w:val="center"/>
        </w:trPr>
        <w:tc>
          <w:tcPr>
            <w:tcW w:w="4310" w:type="dxa"/>
            <w:shd w:val="pct25" w:color="auto" w:fill="auto"/>
          </w:tcPr>
          <w:p w:rsidR="00813532" w:rsidRPr="005F1214" w:rsidRDefault="00813532" w:rsidP="006F7AFD">
            <w:pPr>
              <w:jc w:val="center"/>
              <w:rPr>
                <w:rFonts w:cstheme="minorHAnsi"/>
                <w:b/>
              </w:rPr>
            </w:pPr>
            <w:r w:rsidRPr="005F1214">
              <w:rPr>
                <w:rFonts w:cstheme="minorHAnsi"/>
                <w:b/>
              </w:rPr>
              <w:t>Common Curriculum</w:t>
            </w:r>
          </w:p>
        </w:tc>
        <w:tc>
          <w:tcPr>
            <w:tcW w:w="4685" w:type="dxa"/>
            <w:shd w:val="pct25" w:color="auto" w:fill="auto"/>
          </w:tcPr>
          <w:p w:rsidR="00813532" w:rsidRPr="005F1214" w:rsidRDefault="00813532" w:rsidP="006F7AFD">
            <w:pPr>
              <w:jc w:val="center"/>
              <w:rPr>
                <w:rFonts w:cstheme="minorHAnsi"/>
                <w:b/>
              </w:rPr>
            </w:pPr>
            <w:r w:rsidRPr="005F1214">
              <w:rPr>
                <w:rFonts w:cstheme="minorHAnsi"/>
                <w:b/>
              </w:rPr>
              <w:t>Integrations Curriculum</w:t>
            </w:r>
          </w:p>
        </w:tc>
      </w:tr>
      <w:tr w:rsidR="00813532" w:rsidTr="00C61B42">
        <w:trPr>
          <w:jc w:val="center"/>
        </w:trPr>
        <w:tc>
          <w:tcPr>
            <w:tcW w:w="4310" w:type="dxa"/>
            <w:shd w:val="clear" w:color="auto" w:fill="auto"/>
            <w:vAlign w:val="center"/>
          </w:tcPr>
          <w:p w:rsidR="00813532" w:rsidRPr="005F1214" w:rsidRDefault="00813532" w:rsidP="00813532">
            <w:pPr>
              <w:rPr>
                <w:rFonts w:cstheme="minorHAnsi"/>
              </w:rPr>
            </w:pPr>
            <w:r w:rsidRPr="005F1214">
              <w:rPr>
                <w:rFonts w:cstheme="minorHAnsi"/>
              </w:rPr>
              <w:t>Ethics</w:t>
            </w:r>
            <w:r>
              <w:rPr>
                <w:rFonts w:cstheme="minorHAnsi"/>
              </w:rPr>
              <w:t xml:space="preserve"> (ETHS)</w:t>
            </w:r>
          </w:p>
        </w:tc>
        <w:tc>
          <w:tcPr>
            <w:tcW w:w="4685" w:type="dxa"/>
            <w:shd w:val="clear" w:color="auto" w:fill="auto"/>
            <w:vAlign w:val="center"/>
          </w:tcPr>
          <w:p w:rsidR="00813532" w:rsidRPr="005F1214" w:rsidRDefault="00813532" w:rsidP="00813532">
            <w:pPr>
              <w:rPr>
                <w:rFonts w:cstheme="minorHAnsi"/>
              </w:rPr>
            </w:pPr>
            <w:r w:rsidRPr="005F1214">
              <w:rPr>
                <w:rFonts w:cstheme="minorHAnsi"/>
              </w:rPr>
              <w:t>C</w:t>
            </w:r>
            <w:r>
              <w:rPr>
                <w:rFonts w:cstheme="minorHAnsi"/>
              </w:rPr>
              <w:t>ultural and Social Difference</w:t>
            </w:r>
            <w:r w:rsidRPr="005F1214">
              <w:rPr>
                <w:rFonts w:cstheme="minorHAnsi"/>
              </w:rPr>
              <w:t>: Systems (</w:t>
            </w:r>
            <w:r>
              <w:rPr>
                <w:rFonts w:cstheme="minorHAnsi"/>
              </w:rPr>
              <w:t>CS</w:t>
            </w:r>
            <w:r w:rsidRPr="005F1214">
              <w:rPr>
                <w:rFonts w:cstheme="minorHAnsi"/>
              </w:rPr>
              <w:t>)</w:t>
            </w:r>
          </w:p>
        </w:tc>
      </w:tr>
      <w:tr w:rsidR="00813532" w:rsidTr="00C61B42">
        <w:trPr>
          <w:jc w:val="center"/>
        </w:trPr>
        <w:tc>
          <w:tcPr>
            <w:tcW w:w="4310" w:type="dxa"/>
            <w:shd w:val="pct25" w:color="auto" w:fill="auto"/>
            <w:vAlign w:val="center"/>
          </w:tcPr>
          <w:p w:rsidR="00813532" w:rsidRPr="005F1214" w:rsidRDefault="00813532" w:rsidP="00813532">
            <w:pPr>
              <w:rPr>
                <w:rFonts w:cstheme="minorHAnsi"/>
              </w:rPr>
            </w:pPr>
            <w:r w:rsidRPr="005F1214">
              <w:rPr>
                <w:rFonts w:cstheme="minorHAnsi"/>
              </w:rPr>
              <w:t xml:space="preserve">Experiential Learning </w:t>
            </w:r>
            <w:r>
              <w:rPr>
                <w:rFonts w:cstheme="minorHAnsi"/>
              </w:rPr>
              <w:t>(EL)</w:t>
            </w:r>
          </w:p>
        </w:tc>
        <w:tc>
          <w:tcPr>
            <w:tcW w:w="4685" w:type="dxa"/>
            <w:shd w:val="pct25" w:color="auto" w:fill="auto"/>
            <w:vAlign w:val="center"/>
          </w:tcPr>
          <w:p w:rsidR="00813532" w:rsidRPr="005F1214" w:rsidRDefault="00813532" w:rsidP="00813532">
            <w:pPr>
              <w:rPr>
                <w:rFonts w:cstheme="minorHAnsi"/>
              </w:rPr>
            </w:pPr>
            <w:r w:rsidRPr="005F1214">
              <w:rPr>
                <w:rFonts w:cstheme="minorHAnsi"/>
              </w:rPr>
              <w:t>Experiential Engagement</w:t>
            </w:r>
            <w:r>
              <w:rPr>
                <w:rFonts w:cstheme="minorHAnsi"/>
              </w:rPr>
              <w:t xml:space="preserve"> (EX)</w:t>
            </w:r>
          </w:p>
        </w:tc>
      </w:tr>
      <w:tr w:rsidR="00813532" w:rsidTr="00C61B42">
        <w:trPr>
          <w:jc w:val="center"/>
        </w:trPr>
        <w:tc>
          <w:tcPr>
            <w:tcW w:w="4310" w:type="dxa"/>
            <w:shd w:val="clear" w:color="auto" w:fill="auto"/>
            <w:vAlign w:val="center"/>
          </w:tcPr>
          <w:p w:rsidR="00813532" w:rsidRPr="005F1214" w:rsidRDefault="00813532" w:rsidP="00813532">
            <w:pPr>
              <w:rPr>
                <w:rFonts w:cstheme="minorHAnsi"/>
              </w:rPr>
            </w:pPr>
            <w:r w:rsidRPr="005F1214">
              <w:rPr>
                <w:rFonts w:cstheme="minorHAnsi"/>
              </w:rPr>
              <w:t>Fine Arts</w:t>
            </w:r>
            <w:r>
              <w:rPr>
                <w:rFonts w:cstheme="minorHAnsi"/>
              </w:rPr>
              <w:t xml:space="preserve"> (FA)</w:t>
            </w:r>
          </w:p>
        </w:tc>
        <w:tc>
          <w:tcPr>
            <w:tcW w:w="4685" w:type="dxa"/>
            <w:shd w:val="clear" w:color="auto" w:fill="auto"/>
            <w:vAlign w:val="center"/>
          </w:tcPr>
          <w:p w:rsidR="00813532" w:rsidRPr="005F1214" w:rsidRDefault="00813532" w:rsidP="00813532">
            <w:pPr>
              <w:rPr>
                <w:rFonts w:cstheme="minorHAnsi"/>
              </w:rPr>
            </w:pPr>
            <w:r w:rsidRPr="005F1214">
              <w:rPr>
                <w:rFonts w:cstheme="minorHAnsi"/>
              </w:rPr>
              <w:t>Artistic Expression</w:t>
            </w:r>
            <w:r>
              <w:rPr>
                <w:rFonts w:cstheme="minorHAnsi"/>
              </w:rPr>
              <w:t xml:space="preserve"> (AE)</w:t>
            </w:r>
          </w:p>
        </w:tc>
      </w:tr>
      <w:tr w:rsidR="00813532" w:rsidTr="00C61B42">
        <w:trPr>
          <w:jc w:val="center"/>
        </w:trPr>
        <w:tc>
          <w:tcPr>
            <w:tcW w:w="4310" w:type="dxa"/>
            <w:shd w:val="pct25" w:color="auto" w:fill="auto"/>
            <w:vAlign w:val="center"/>
          </w:tcPr>
          <w:p w:rsidR="00813532" w:rsidRPr="005F1214" w:rsidRDefault="00813532" w:rsidP="00813532">
            <w:pPr>
              <w:rPr>
                <w:rFonts w:cstheme="minorHAnsi"/>
              </w:rPr>
            </w:pPr>
            <w:r w:rsidRPr="005F1214">
              <w:rPr>
                <w:rFonts w:cstheme="minorHAnsi"/>
              </w:rPr>
              <w:t>Gender</w:t>
            </w:r>
            <w:r>
              <w:rPr>
                <w:rFonts w:cstheme="minorHAnsi"/>
              </w:rPr>
              <w:t xml:space="preserve"> (GE)</w:t>
            </w:r>
          </w:p>
        </w:tc>
        <w:tc>
          <w:tcPr>
            <w:tcW w:w="4685" w:type="dxa"/>
            <w:vMerge w:val="restart"/>
            <w:shd w:val="pct25" w:color="auto" w:fill="auto"/>
            <w:vAlign w:val="center"/>
          </w:tcPr>
          <w:p w:rsidR="00813532" w:rsidRPr="005F1214" w:rsidRDefault="00813532" w:rsidP="00813532">
            <w:pPr>
              <w:rPr>
                <w:rFonts w:cstheme="minorHAnsi"/>
              </w:rPr>
            </w:pPr>
            <w:r w:rsidRPr="005F1214">
              <w:rPr>
                <w:rFonts w:cstheme="minorHAnsi"/>
              </w:rPr>
              <w:t>Culture and Social Difference</w:t>
            </w:r>
            <w:r>
              <w:rPr>
                <w:rFonts w:cstheme="minorHAnsi"/>
              </w:rPr>
              <w:t>: Identities (CI)</w:t>
            </w:r>
          </w:p>
        </w:tc>
      </w:tr>
      <w:tr w:rsidR="00813532" w:rsidTr="00C61B42">
        <w:trPr>
          <w:jc w:val="center"/>
        </w:trPr>
        <w:tc>
          <w:tcPr>
            <w:tcW w:w="4310" w:type="dxa"/>
            <w:shd w:val="pct25" w:color="auto" w:fill="auto"/>
            <w:vAlign w:val="center"/>
          </w:tcPr>
          <w:p w:rsidR="00813532" w:rsidRPr="005F1214" w:rsidRDefault="00813532" w:rsidP="00813532">
            <w:pPr>
              <w:rPr>
                <w:rFonts w:cstheme="minorHAnsi"/>
              </w:rPr>
            </w:pPr>
            <w:r w:rsidRPr="005F1214">
              <w:rPr>
                <w:rFonts w:cstheme="minorHAnsi"/>
              </w:rPr>
              <w:t>Intercultural Learning</w:t>
            </w:r>
            <w:r>
              <w:rPr>
                <w:rFonts w:cstheme="minorHAnsi"/>
              </w:rPr>
              <w:t xml:space="preserve"> (IC)</w:t>
            </w:r>
          </w:p>
        </w:tc>
        <w:tc>
          <w:tcPr>
            <w:tcW w:w="4685" w:type="dxa"/>
            <w:vMerge/>
            <w:shd w:val="pct25" w:color="auto" w:fill="auto"/>
            <w:vAlign w:val="center"/>
          </w:tcPr>
          <w:p w:rsidR="00813532" w:rsidRPr="005F1214" w:rsidRDefault="00813532" w:rsidP="00813532">
            <w:pPr>
              <w:rPr>
                <w:rFonts w:cstheme="minorHAnsi"/>
              </w:rPr>
            </w:pPr>
          </w:p>
        </w:tc>
      </w:tr>
      <w:tr w:rsidR="00813532" w:rsidTr="00C61B42">
        <w:trPr>
          <w:jc w:val="center"/>
        </w:trPr>
        <w:tc>
          <w:tcPr>
            <w:tcW w:w="4310" w:type="dxa"/>
            <w:shd w:val="clear" w:color="auto" w:fill="auto"/>
            <w:vAlign w:val="center"/>
          </w:tcPr>
          <w:p w:rsidR="00813532" w:rsidRPr="005F1214" w:rsidRDefault="00813532" w:rsidP="00813532">
            <w:pPr>
              <w:rPr>
                <w:rFonts w:cstheme="minorHAnsi"/>
              </w:rPr>
            </w:pPr>
            <w:r w:rsidRPr="005F1214">
              <w:rPr>
                <w:rFonts w:cstheme="minorHAnsi"/>
              </w:rPr>
              <w:t>Humanities</w:t>
            </w:r>
            <w:r>
              <w:rPr>
                <w:rFonts w:cstheme="minorHAnsi"/>
              </w:rPr>
              <w:t xml:space="preserve"> (HM)</w:t>
            </w:r>
          </w:p>
        </w:tc>
        <w:tc>
          <w:tcPr>
            <w:tcW w:w="4685" w:type="dxa"/>
            <w:shd w:val="clear" w:color="auto" w:fill="auto"/>
            <w:vAlign w:val="center"/>
          </w:tcPr>
          <w:p w:rsidR="00813532" w:rsidRPr="005F1214" w:rsidRDefault="00813532" w:rsidP="00813532">
            <w:pPr>
              <w:rPr>
                <w:rFonts w:cstheme="minorHAnsi"/>
              </w:rPr>
            </w:pPr>
            <w:r w:rsidRPr="005F1214">
              <w:rPr>
                <w:rFonts w:cstheme="minorHAnsi"/>
              </w:rPr>
              <w:t>Human Experience</w:t>
            </w:r>
            <w:r>
              <w:rPr>
                <w:rFonts w:cstheme="minorHAnsi"/>
              </w:rPr>
              <w:t xml:space="preserve"> (HE)</w:t>
            </w:r>
          </w:p>
        </w:tc>
      </w:tr>
      <w:tr w:rsidR="00813532" w:rsidTr="00C61B42">
        <w:trPr>
          <w:jc w:val="center"/>
        </w:trPr>
        <w:tc>
          <w:tcPr>
            <w:tcW w:w="4310" w:type="dxa"/>
            <w:shd w:val="pct25" w:color="auto" w:fill="auto"/>
            <w:vAlign w:val="center"/>
          </w:tcPr>
          <w:p w:rsidR="00813532" w:rsidRPr="005F1214" w:rsidRDefault="00813532" w:rsidP="00813532">
            <w:pPr>
              <w:rPr>
                <w:rFonts w:cstheme="minorHAnsi"/>
              </w:rPr>
            </w:pPr>
            <w:r w:rsidRPr="005F1214">
              <w:rPr>
                <w:rFonts w:cstheme="minorHAnsi"/>
              </w:rPr>
              <w:t>Language</w:t>
            </w:r>
            <w:r>
              <w:rPr>
                <w:rFonts w:cstheme="minorHAnsi"/>
              </w:rPr>
              <w:t xml:space="preserve"> (LANG)</w:t>
            </w:r>
          </w:p>
        </w:tc>
        <w:tc>
          <w:tcPr>
            <w:tcW w:w="4685" w:type="dxa"/>
            <w:shd w:val="pct25" w:color="auto" w:fill="auto"/>
            <w:vAlign w:val="center"/>
          </w:tcPr>
          <w:p w:rsidR="00813532" w:rsidRPr="005F1214" w:rsidRDefault="00813532" w:rsidP="00813532">
            <w:pPr>
              <w:rPr>
                <w:rFonts w:cstheme="minorHAnsi"/>
              </w:rPr>
            </w:pPr>
            <w:r w:rsidRPr="005F1214">
              <w:rPr>
                <w:rFonts w:cstheme="minorHAnsi"/>
              </w:rPr>
              <w:t>Language</w:t>
            </w:r>
            <w:r>
              <w:rPr>
                <w:rFonts w:cstheme="minorHAnsi"/>
              </w:rPr>
              <w:t xml:space="preserve"> (LANG)</w:t>
            </w:r>
          </w:p>
        </w:tc>
      </w:tr>
      <w:tr w:rsidR="00813532" w:rsidTr="00C61B42">
        <w:trPr>
          <w:jc w:val="center"/>
        </w:trPr>
        <w:tc>
          <w:tcPr>
            <w:tcW w:w="4310" w:type="dxa"/>
            <w:shd w:val="clear" w:color="auto" w:fill="auto"/>
            <w:vAlign w:val="center"/>
          </w:tcPr>
          <w:p w:rsidR="00813532" w:rsidRPr="005F1214" w:rsidRDefault="00813532" w:rsidP="00813532">
            <w:pPr>
              <w:rPr>
                <w:rFonts w:cstheme="minorHAnsi"/>
              </w:rPr>
            </w:pPr>
            <w:r w:rsidRPr="005F1214">
              <w:rPr>
                <w:rFonts w:cstheme="minorHAnsi"/>
              </w:rPr>
              <w:t>Mathematics</w:t>
            </w:r>
            <w:r>
              <w:rPr>
                <w:rFonts w:cstheme="minorHAnsi"/>
              </w:rPr>
              <w:t xml:space="preserve"> (MT)</w:t>
            </w:r>
          </w:p>
        </w:tc>
        <w:tc>
          <w:tcPr>
            <w:tcW w:w="4685" w:type="dxa"/>
            <w:shd w:val="clear" w:color="auto" w:fill="auto"/>
            <w:vAlign w:val="center"/>
          </w:tcPr>
          <w:p w:rsidR="00813532" w:rsidRPr="006F7AFD" w:rsidRDefault="00813532" w:rsidP="00813532">
            <w:pPr>
              <w:rPr>
                <w:rFonts w:cstheme="minorHAnsi"/>
                <w:i/>
              </w:rPr>
            </w:pPr>
            <w:r w:rsidRPr="006F7AFD">
              <w:rPr>
                <w:rFonts w:cstheme="minorHAnsi"/>
                <w:i/>
              </w:rPr>
              <w:t>No equivalencies</w:t>
            </w:r>
          </w:p>
        </w:tc>
      </w:tr>
      <w:tr w:rsidR="00813532" w:rsidTr="00C61B42">
        <w:trPr>
          <w:jc w:val="center"/>
        </w:trPr>
        <w:tc>
          <w:tcPr>
            <w:tcW w:w="4310" w:type="dxa"/>
            <w:shd w:val="pct25" w:color="auto" w:fill="auto"/>
            <w:vAlign w:val="center"/>
          </w:tcPr>
          <w:p w:rsidR="00813532" w:rsidRPr="005F1214" w:rsidRDefault="00813532" w:rsidP="00813532">
            <w:pPr>
              <w:rPr>
                <w:rFonts w:cstheme="minorHAnsi"/>
              </w:rPr>
            </w:pPr>
            <w:r w:rsidRPr="005F1214">
              <w:rPr>
                <w:rFonts w:cstheme="minorHAnsi"/>
              </w:rPr>
              <w:t>Natural Science</w:t>
            </w:r>
            <w:r>
              <w:rPr>
                <w:rFonts w:cstheme="minorHAnsi"/>
              </w:rPr>
              <w:t xml:space="preserve"> (NS)</w:t>
            </w:r>
          </w:p>
        </w:tc>
        <w:tc>
          <w:tcPr>
            <w:tcW w:w="4685" w:type="dxa"/>
            <w:shd w:val="pct25" w:color="auto" w:fill="auto"/>
            <w:vAlign w:val="center"/>
          </w:tcPr>
          <w:p w:rsidR="00813532" w:rsidRPr="005F1214" w:rsidRDefault="00813532" w:rsidP="00813532">
            <w:pPr>
              <w:rPr>
                <w:rFonts w:cstheme="minorHAnsi"/>
              </w:rPr>
            </w:pPr>
            <w:r w:rsidRPr="005F1214">
              <w:rPr>
                <w:rFonts w:cstheme="minorHAnsi"/>
              </w:rPr>
              <w:t>Natural World</w:t>
            </w:r>
            <w:r>
              <w:rPr>
                <w:rFonts w:cstheme="minorHAnsi"/>
              </w:rPr>
              <w:t xml:space="preserve"> (NW)</w:t>
            </w:r>
          </w:p>
        </w:tc>
      </w:tr>
      <w:tr w:rsidR="00813532" w:rsidTr="00C61B42">
        <w:trPr>
          <w:jc w:val="center"/>
        </w:trPr>
        <w:tc>
          <w:tcPr>
            <w:tcW w:w="4310" w:type="dxa"/>
            <w:vAlign w:val="center"/>
          </w:tcPr>
          <w:p w:rsidR="00813532" w:rsidRPr="005F1214" w:rsidRDefault="00813532" w:rsidP="00813532">
            <w:pPr>
              <w:rPr>
                <w:rFonts w:cstheme="minorHAnsi"/>
              </w:rPr>
            </w:pPr>
            <w:r w:rsidRPr="005F1214">
              <w:rPr>
                <w:rFonts w:cstheme="minorHAnsi"/>
              </w:rPr>
              <w:t>Social Science</w:t>
            </w:r>
            <w:r>
              <w:rPr>
                <w:rFonts w:cstheme="minorHAnsi"/>
              </w:rPr>
              <w:t xml:space="preserve"> (SS)</w:t>
            </w:r>
          </w:p>
        </w:tc>
        <w:tc>
          <w:tcPr>
            <w:tcW w:w="4685" w:type="dxa"/>
            <w:vAlign w:val="center"/>
          </w:tcPr>
          <w:p w:rsidR="00813532" w:rsidRPr="005F1214" w:rsidRDefault="00813532" w:rsidP="00813532">
            <w:pPr>
              <w:rPr>
                <w:rFonts w:cstheme="minorHAnsi"/>
              </w:rPr>
            </w:pPr>
            <w:r w:rsidRPr="005F1214">
              <w:rPr>
                <w:rFonts w:cstheme="minorHAnsi"/>
              </w:rPr>
              <w:t>Social World</w:t>
            </w:r>
            <w:r>
              <w:rPr>
                <w:rFonts w:cstheme="minorHAnsi"/>
              </w:rPr>
              <w:t xml:space="preserve"> (SW)</w:t>
            </w:r>
          </w:p>
        </w:tc>
      </w:tr>
      <w:tr w:rsidR="00813532" w:rsidTr="00C61B42">
        <w:trPr>
          <w:jc w:val="center"/>
        </w:trPr>
        <w:tc>
          <w:tcPr>
            <w:tcW w:w="4310" w:type="dxa"/>
            <w:shd w:val="pct25" w:color="auto" w:fill="auto"/>
            <w:vAlign w:val="center"/>
          </w:tcPr>
          <w:p w:rsidR="00813532" w:rsidRPr="005F1214" w:rsidRDefault="00813532" w:rsidP="00813532">
            <w:pPr>
              <w:rPr>
                <w:rFonts w:cstheme="minorHAnsi"/>
              </w:rPr>
            </w:pPr>
            <w:r>
              <w:rPr>
                <w:rFonts w:cstheme="minorHAnsi"/>
              </w:rPr>
              <w:t>Lower Division Theology</w:t>
            </w:r>
            <w:r w:rsidRPr="005F1214">
              <w:rPr>
                <w:rFonts w:cstheme="minorHAnsi"/>
              </w:rPr>
              <w:t xml:space="preserve"> (</w:t>
            </w:r>
            <w:r>
              <w:rPr>
                <w:rFonts w:cstheme="minorHAnsi"/>
              </w:rPr>
              <w:t xml:space="preserve">THEO </w:t>
            </w:r>
            <w:r w:rsidRPr="005F1214">
              <w:rPr>
                <w:rFonts w:cstheme="minorHAnsi"/>
              </w:rPr>
              <w:t>111)</w:t>
            </w:r>
          </w:p>
        </w:tc>
        <w:tc>
          <w:tcPr>
            <w:tcW w:w="4685" w:type="dxa"/>
            <w:shd w:val="pct25" w:color="auto" w:fill="auto"/>
            <w:vAlign w:val="center"/>
          </w:tcPr>
          <w:p w:rsidR="00813532" w:rsidRPr="005F1214" w:rsidRDefault="00813532" w:rsidP="00813532">
            <w:pPr>
              <w:rPr>
                <w:rFonts w:cstheme="minorHAnsi"/>
              </w:rPr>
            </w:pPr>
            <w:r w:rsidRPr="005F1214">
              <w:rPr>
                <w:rFonts w:cstheme="minorHAnsi"/>
              </w:rPr>
              <w:t>Theological Explorations</w:t>
            </w:r>
            <w:r>
              <w:rPr>
                <w:rFonts w:cstheme="minorHAnsi"/>
              </w:rPr>
              <w:t xml:space="preserve"> (THEO 100)</w:t>
            </w:r>
          </w:p>
        </w:tc>
      </w:tr>
      <w:tr w:rsidR="00813532" w:rsidTr="00C61B42">
        <w:trPr>
          <w:jc w:val="center"/>
        </w:trPr>
        <w:tc>
          <w:tcPr>
            <w:tcW w:w="4310" w:type="dxa"/>
            <w:vAlign w:val="center"/>
          </w:tcPr>
          <w:p w:rsidR="00813532" w:rsidRPr="005F1214" w:rsidRDefault="00813532" w:rsidP="00813532">
            <w:pPr>
              <w:rPr>
                <w:rFonts w:cstheme="minorHAnsi"/>
              </w:rPr>
            </w:pPr>
            <w:r w:rsidRPr="005F1214">
              <w:rPr>
                <w:rFonts w:cstheme="minorHAnsi"/>
              </w:rPr>
              <w:t xml:space="preserve">Upper </w:t>
            </w:r>
            <w:r>
              <w:rPr>
                <w:rFonts w:cstheme="minorHAnsi"/>
              </w:rPr>
              <w:t xml:space="preserve">Division </w:t>
            </w:r>
            <w:r w:rsidRPr="005F1214">
              <w:rPr>
                <w:rFonts w:cstheme="minorHAnsi"/>
              </w:rPr>
              <w:t>Theology (TU)</w:t>
            </w:r>
          </w:p>
        </w:tc>
        <w:tc>
          <w:tcPr>
            <w:tcW w:w="4685" w:type="dxa"/>
            <w:vAlign w:val="center"/>
          </w:tcPr>
          <w:p w:rsidR="00813532" w:rsidRPr="005F1214" w:rsidRDefault="00813532" w:rsidP="00813532">
            <w:pPr>
              <w:rPr>
                <w:rFonts w:cstheme="minorHAnsi"/>
              </w:rPr>
            </w:pPr>
            <w:r w:rsidRPr="005F1214">
              <w:rPr>
                <w:rFonts w:cstheme="minorHAnsi"/>
              </w:rPr>
              <w:t>Theological Integrations</w:t>
            </w:r>
            <w:r>
              <w:rPr>
                <w:rFonts w:cstheme="minorHAnsi"/>
              </w:rPr>
              <w:t xml:space="preserve"> (TI)</w:t>
            </w:r>
          </w:p>
        </w:tc>
      </w:tr>
    </w:tbl>
    <w:p w:rsidR="00813532" w:rsidRPr="00391663" w:rsidRDefault="00813532" w:rsidP="00813532">
      <w:pPr>
        <w:rPr>
          <w:rFonts w:ascii="Adobe Devanagari" w:hAnsi="Adobe Devanagari" w:cs="Adobe Devanagari"/>
          <w:b/>
        </w:rPr>
      </w:pPr>
    </w:p>
    <w:p w:rsidR="000B7A7C" w:rsidRDefault="000B7A7C"/>
    <w:sectPr w:rsidR="000B7A7C" w:rsidSect="006F7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obe Devanagari">
    <w:altName w:val="Kokila"/>
    <w:panose1 w:val="020B0604020202020204"/>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C76CD"/>
    <w:multiLevelType w:val="hybridMultilevel"/>
    <w:tmpl w:val="E5D8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32"/>
    <w:rsid w:val="000B7A7C"/>
    <w:rsid w:val="006F7AFD"/>
    <w:rsid w:val="00813532"/>
    <w:rsid w:val="00A256B7"/>
    <w:rsid w:val="00AE6BC3"/>
    <w:rsid w:val="00C6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C55A4-C13C-433A-83BE-3CBD6BE1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Oelfke, Tory</dc:creator>
  <cp:keywords/>
  <dc:description/>
  <cp:lastModifiedBy>Miller, Shane</cp:lastModifiedBy>
  <cp:revision>2</cp:revision>
  <dcterms:created xsi:type="dcterms:W3CDTF">2020-01-14T21:04:00Z</dcterms:created>
  <dcterms:modified xsi:type="dcterms:W3CDTF">2020-01-14T21:04:00Z</dcterms:modified>
</cp:coreProperties>
</file>