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48EEC" w14:textId="5251B197" w:rsidR="00570648" w:rsidRPr="00161C4A" w:rsidRDefault="00BB5C8C" w:rsidP="00570648">
      <w:pPr>
        <w:jc w:val="center"/>
        <w:rPr>
          <w:b/>
          <w:bCs/>
          <w:color w:val="C00000"/>
          <w:sz w:val="72"/>
          <w:szCs w:val="72"/>
        </w:rPr>
      </w:pPr>
      <w:r>
        <w:rPr>
          <w:b/>
          <w:bCs/>
          <w:noProof/>
          <w:color w:val="C00000"/>
          <w:sz w:val="72"/>
          <w:szCs w:val="72"/>
        </w:rPr>
        <w:drawing>
          <wp:anchor distT="0" distB="0" distL="114300" distR="114300" simplePos="0" relativeHeight="251659264" behindDoc="0" locked="0" layoutInCell="1" allowOverlap="1" wp14:anchorId="61B84A81" wp14:editId="2316C5D3">
            <wp:simplePos x="0" y="0"/>
            <wp:positionH relativeFrom="margin">
              <wp:align>left</wp:align>
            </wp:positionH>
            <wp:positionV relativeFrom="paragraph">
              <wp:posOffset>-76200</wp:posOffset>
            </wp:positionV>
            <wp:extent cx="1699267" cy="111125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B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9267" cy="1111250"/>
                    </a:xfrm>
                    <a:prstGeom prst="rect">
                      <a:avLst/>
                    </a:prstGeom>
                  </pic:spPr>
                </pic:pic>
              </a:graphicData>
            </a:graphic>
            <wp14:sizeRelH relativeFrom="page">
              <wp14:pctWidth>0</wp14:pctWidth>
            </wp14:sizeRelH>
            <wp14:sizeRelV relativeFrom="page">
              <wp14:pctHeight>0</wp14:pctHeight>
            </wp14:sizeRelV>
          </wp:anchor>
        </w:drawing>
      </w:r>
      <w:r>
        <w:rPr>
          <w:b/>
          <w:bCs/>
          <w:noProof/>
          <w:color w:val="C00000"/>
          <w:sz w:val="72"/>
          <w:szCs w:val="72"/>
        </w:rPr>
        <w:drawing>
          <wp:anchor distT="0" distB="0" distL="114300" distR="114300" simplePos="0" relativeHeight="251658240" behindDoc="0" locked="0" layoutInCell="1" allowOverlap="1" wp14:anchorId="3997257E" wp14:editId="5F1CCB61">
            <wp:simplePos x="0" y="0"/>
            <wp:positionH relativeFrom="margin">
              <wp:align>right</wp:align>
            </wp:positionH>
            <wp:positionV relativeFrom="paragraph">
              <wp:posOffset>-124460</wp:posOffset>
            </wp:positionV>
            <wp:extent cx="1485900" cy="1257787"/>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JUVe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5900" cy="1257787"/>
                    </a:xfrm>
                    <a:prstGeom prst="rect">
                      <a:avLst/>
                    </a:prstGeom>
                  </pic:spPr>
                </pic:pic>
              </a:graphicData>
            </a:graphic>
            <wp14:sizeRelH relativeFrom="page">
              <wp14:pctWidth>0</wp14:pctWidth>
            </wp14:sizeRelH>
            <wp14:sizeRelV relativeFrom="page">
              <wp14:pctHeight>0</wp14:pctHeight>
            </wp14:sizeRelV>
          </wp:anchor>
        </w:drawing>
      </w:r>
      <w:r w:rsidR="00570648" w:rsidRPr="008546AD">
        <w:rPr>
          <w:b/>
          <w:bCs/>
          <w:color w:val="C00000"/>
          <w:sz w:val="72"/>
          <w:szCs w:val="72"/>
        </w:rPr>
        <w:t>Spring Semester Top 10!</w:t>
      </w:r>
      <w:r w:rsidR="00570648" w:rsidRPr="00161C4A">
        <w:rPr>
          <w:noProof/>
        </w:rPr>
        <w:t xml:space="preserve"> </w:t>
      </w:r>
      <w:bookmarkStart w:id="0" w:name="_GoBack"/>
      <w:bookmarkEnd w:id="0"/>
    </w:p>
    <w:p w14:paraId="6CBBE0C1" w14:textId="7BCBE7E7" w:rsidR="00570648" w:rsidRPr="00011DBA" w:rsidRDefault="00570648" w:rsidP="00570648">
      <w:pPr>
        <w:jc w:val="center"/>
        <w:rPr>
          <w:sz w:val="40"/>
          <w:szCs w:val="40"/>
        </w:rPr>
      </w:pPr>
      <w:r w:rsidRPr="00011DBA">
        <w:rPr>
          <w:sz w:val="40"/>
          <w:szCs w:val="40"/>
        </w:rPr>
        <w:t>For additional information and details</w:t>
      </w:r>
      <w:r>
        <w:rPr>
          <w:sz w:val="40"/>
          <w:szCs w:val="40"/>
        </w:rPr>
        <w:t>:</w:t>
      </w:r>
      <w:r>
        <w:rPr>
          <w:sz w:val="40"/>
          <w:szCs w:val="40"/>
        </w:rPr>
        <w:br/>
      </w:r>
      <w:r w:rsidRPr="00011DBA">
        <w:rPr>
          <w:sz w:val="40"/>
          <w:szCs w:val="40"/>
        </w:rPr>
        <w:t xml:space="preserve"> </w:t>
      </w:r>
      <w:hyperlink r:id="rId11" w:history="1">
        <w:r w:rsidRPr="00011DBA">
          <w:rPr>
            <w:rStyle w:val="Hyperlink"/>
            <w:sz w:val="40"/>
            <w:szCs w:val="40"/>
          </w:rPr>
          <w:t>COVID-19 Resources and Spring 2021 Information</w:t>
        </w:r>
      </w:hyperlink>
    </w:p>
    <w:p w14:paraId="7EAA30F7" w14:textId="77777777" w:rsidR="00570648" w:rsidRPr="005C5174" w:rsidRDefault="00570648" w:rsidP="00570648">
      <w:pPr>
        <w:rPr>
          <w:sz w:val="24"/>
          <w:szCs w:val="24"/>
        </w:rPr>
      </w:pPr>
    </w:p>
    <w:tbl>
      <w:tblPr>
        <w:tblStyle w:val="TableGrid"/>
        <w:tblW w:w="0" w:type="auto"/>
        <w:tblLook w:val="04A0" w:firstRow="1" w:lastRow="0" w:firstColumn="1" w:lastColumn="0" w:noHBand="0" w:noVBand="1"/>
      </w:tblPr>
      <w:tblGrid>
        <w:gridCol w:w="1745"/>
        <w:gridCol w:w="12645"/>
      </w:tblGrid>
      <w:tr w:rsidR="00570648" w14:paraId="7B7E091C" w14:textId="77777777" w:rsidTr="00165B29">
        <w:tc>
          <w:tcPr>
            <w:tcW w:w="985" w:type="dxa"/>
            <w:shd w:val="clear" w:color="auto" w:fill="F2F2F2" w:themeFill="background1" w:themeFillShade="F2"/>
            <w:vAlign w:val="center"/>
          </w:tcPr>
          <w:p w14:paraId="62256073" w14:textId="77777777" w:rsidR="00570648" w:rsidRPr="00011DBA" w:rsidRDefault="00570648" w:rsidP="00165B29">
            <w:pPr>
              <w:jc w:val="center"/>
              <w:rPr>
                <w:b/>
                <w:bCs/>
                <w:color w:val="0070C0"/>
                <w:sz w:val="144"/>
                <w:szCs w:val="144"/>
              </w:rPr>
            </w:pPr>
            <w:r w:rsidRPr="00011DBA">
              <w:rPr>
                <w:b/>
                <w:bCs/>
                <w:color w:val="0070C0"/>
                <w:sz w:val="144"/>
                <w:szCs w:val="144"/>
              </w:rPr>
              <w:t>1</w:t>
            </w:r>
          </w:p>
        </w:tc>
        <w:tc>
          <w:tcPr>
            <w:tcW w:w="13405" w:type="dxa"/>
            <w:shd w:val="clear" w:color="auto" w:fill="F2F2F2" w:themeFill="background1" w:themeFillShade="F2"/>
          </w:tcPr>
          <w:p w14:paraId="4EF20B32" w14:textId="77777777" w:rsidR="00570648" w:rsidRPr="008546AD" w:rsidRDefault="00570648" w:rsidP="00735124">
            <w:pPr>
              <w:rPr>
                <w:b/>
                <w:bCs/>
                <w:color w:val="C2260C" w:themeColor="accent6" w:themeShade="BF"/>
                <w:sz w:val="48"/>
                <w:szCs w:val="48"/>
              </w:rPr>
            </w:pPr>
            <w:r w:rsidRPr="008546AD">
              <w:rPr>
                <w:b/>
                <w:bCs/>
                <w:color w:val="C2260C" w:themeColor="accent6" w:themeShade="BF"/>
                <w:sz w:val="48"/>
                <w:szCs w:val="48"/>
              </w:rPr>
              <w:t>Commitment to Community</w:t>
            </w:r>
          </w:p>
          <w:p w14:paraId="36A45AD3" w14:textId="54C8FFE1" w:rsidR="00570648" w:rsidRPr="00607704" w:rsidRDefault="00570648" w:rsidP="00735124">
            <w:pPr>
              <w:rPr>
                <w:sz w:val="30"/>
                <w:szCs w:val="30"/>
              </w:rPr>
            </w:pPr>
            <w:r w:rsidRPr="00607704">
              <w:rPr>
                <w:sz w:val="30"/>
                <w:szCs w:val="30"/>
              </w:rPr>
              <w:t xml:space="preserve">ALL students are expected to abide by the </w:t>
            </w:r>
            <w:hyperlink r:id="rId12" w:history="1">
              <w:r w:rsidRPr="00607704">
                <w:rPr>
                  <w:rStyle w:val="Hyperlink"/>
                  <w:sz w:val="30"/>
                  <w:szCs w:val="30"/>
                </w:rPr>
                <w:t>Personal Responsibility Statement</w:t>
              </w:r>
            </w:hyperlink>
            <w:r w:rsidRPr="00607704">
              <w:rPr>
                <w:sz w:val="30"/>
                <w:szCs w:val="30"/>
              </w:rPr>
              <w:t xml:space="preserve">. These </w:t>
            </w:r>
            <w:r w:rsidR="0096184B" w:rsidRPr="00607704">
              <w:rPr>
                <w:sz w:val="30"/>
                <w:szCs w:val="30"/>
              </w:rPr>
              <w:t>community e</w:t>
            </w:r>
            <w:r w:rsidRPr="00607704">
              <w:rPr>
                <w:sz w:val="30"/>
                <w:szCs w:val="30"/>
              </w:rPr>
              <w:t>xpectations apply to ALL students (including off campus students) regardless of COVID</w:t>
            </w:r>
            <w:r w:rsidR="0096184B" w:rsidRPr="00607704">
              <w:rPr>
                <w:sz w:val="30"/>
                <w:szCs w:val="30"/>
              </w:rPr>
              <w:t>-19</w:t>
            </w:r>
            <w:r w:rsidRPr="00607704">
              <w:rPr>
                <w:sz w:val="30"/>
                <w:szCs w:val="30"/>
              </w:rPr>
              <w:t xml:space="preserve"> infection status or vaccine status.</w:t>
            </w:r>
          </w:p>
          <w:p w14:paraId="5A3D2C70" w14:textId="77777777" w:rsidR="00570648" w:rsidRPr="00607704" w:rsidRDefault="00570648">
            <w:pPr>
              <w:pStyle w:val="ListParagraph"/>
              <w:numPr>
                <w:ilvl w:val="0"/>
                <w:numId w:val="1"/>
              </w:numPr>
              <w:rPr>
                <w:sz w:val="30"/>
                <w:szCs w:val="30"/>
              </w:rPr>
            </w:pPr>
            <w:r w:rsidRPr="00607704">
              <w:rPr>
                <w:sz w:val="30"/>
                <w:szCs w:val="30"/>
              </w:rPr>
              <w:t>Follow physical/social distancing of 6 feet, both on and off campus</w:t>
            </w:r>
          </w:p>
          <w:p w14:paraId="77DEB214" w14:textId="459586F9" w:rsidR="00570648" w:rsidRPr="00607704" w:rsidRDefault="00570648">
            <w:pPr>
              <w:pStyle w:val="ListParagraph"/>
              <w:numPr>
                <w:ilvl w:val="0"/>
                <w:numId w:val="1"/>
              </w:numPr>
              <w:rPr>
                <w:sz w:val="30"/>
                <w:szCs w:val="30"/>
              </w:rPr>
            </w:pPr>
            <w:r w:rsidRPr="00607704">
              <w:rPr>
                <w:sz w:val="30"/>
                <w:szCs w:val="30"/>
              </w:rPr>
              <w:t>Always wear a mask when outside your place of residence, both on and off campus</w:t>
            </w:r>
          </w:p>
          <w:p w14:paraId="3562B0F6" w14:textId="77777777" w:rsidR="00570648" w:rsidRPr="00607704" w:rsidRDefault="00570648">
            <w:pPr>
              <w:pStyle w:val="ListParagraph"/>
              <w:numPr>
                <w:ilvl w:val="0"/>
                <w:numId w:val="1"/>
              </w:numPr>
              <w:rPr>
                <w:sz w:val="30"/>
                <w:szCs w:val="30"/>
              </w:rPr>
            </w:pPr>
            <w:r w:rsidRPr="00607704">
              <w:rPr>
                <w:sz w:val="30"/>
                <w:szCs w:val="30"/>
              </w:rPr>
              <w:t>Avoid activities that put yourself &amp; others at risk of contracting/transmitting COVID-19</w:t>
            </w:r>
          </w:p>
          <w:p w14:paraId="262BA569" w14:textId="77777777" w:rsidR="00570648" w:rsidRPr="00607704" w:rsidRDefault="00570648">
            <w:pPr>
              <w:pStyle w:val="ListParagraph"/>
              <w:numPr>
                <w:ilvl w:val="0"/>
                <w:numId w:val="1"/>
              </w:numPr>
              <w:rPr>
                <w:sz w:val="30"/>
                <w:szCs w:val="30"/>
              </w:rPr>
            </w:pPr>
            <w:r w:rsidRPr="00607704">
              <w:rPr>
                <w:sz w:val="30"/>
                <w:szCs w:val="30"/>
              </w:rPr>
              <w:t>Complete the daily health screening honestly and accurately</w:t>
            </w:r>
          </w:p>
          <w:p w14:paraId="3FBB0CCE" w14:textId="77777777" w:rsidR="00570648" w:rsidRPr="00607704" w:rsidRDefault="00570648">
            <w:pPr>
              <w:pStyle w:val="ListParagraph"/>
              <w:numPr>
                <w:ilvl w:val="0"/>
                <w:numId w:val="1"/>
              </w:numPr>
              <w:rPr>
                <w:sz w:val="32"/>
                <w:szCs w:val="32"/>
              </w:rPr>
            </w:pPr>
            <w:r w:rsidRPr="00607704">
              <w:rPr>
                <w:sz w:val="30"/>
                <w:szCs w:val="30"/>
              </w:rPr>
              <w:t>Abide by the directives of those caring for the health and welfare of our community</w:t>
            </w:r>
          </w:p>
          <w:p w14:paraId="73757107" w14:textId="205388FD" w:rsidR="00735124" w:rsidRPr="00607704" w:rsidRDefault="00735124" w:rsidP="00607704">
            <w:pPr>
              <w:pStyle w:val="ListParagraph"/>
              <w:rPr>
                <w:sz w:val="12"/>
                <w:szCs w:val="12"/>
              </w:rPr>
            </w:pPr>
          </w:p>
        </w:tc>
      </w:tr>
      <w:tr w:rsidR="00570648" w14:paraId="0C13312D" w14:textId="77777777" w:rsidTr="00165B29">
        <w:tc>
          <w:tcPr>
            <w:tcW w:w="985" w:type="dxa"/>
            <w:shd w:val="clear" w:color="auto" w:fill="D9D9D9" w:themeFill="background1" w:themeFillShade="D9"/>
            <w:vAlign w:val="center"/>
          </w:tcPr>
          <w:p w14:paraId="2D3062D8" w14:textId="77777777" w:rsidR="00570648" w:rsidRPr="00011DBA" w:rsidRDefault="00570648" w:rsidP="00165B29">
            <w:pPr>
              <w:jc w:val="center"/>
              <w:rPr>
                <w:b/>
                <w:bCs/>
                <w:color w:val="0070C0"/>
                <w:sz w:val="144"/>
                <w:szCs w:val="144"/>
              </w:rPr>
            </w:pPr>
            <w:r w:rsidRPr="00011DBA">
              <w:rPr>
                <w:b/>
                <w:bCs/>
                <w:color w:val="0070C0"/>
                <w:sz w:val="144"/>
                <w:szCs w:val="144"/>
              </w:rPr>
              <w:t>2</w:t>
            </w:r>
          </w:p>
        </w:tc>
        <w:tc>
          <w:tcPr>
            <w:tcW w:w="13405" w:type="dxa"/>
            <w:shd w:val="clear" w:color="auto" w:fill="D9D9D9" w:themeFill="background1" w:themeFillShade="D9"/>
          </w:tcPr>
          <w:p w14:paraId="344CD30F" w14:textId="77777777" w:rsidR="00570648" w:rsidRPr="00570648" w:rsidRDefault="00570648">
            <w:pPr>
              <w:rPr>
                <w:b/>
                <w:bCs/>
                <w:color w:val="C2260C" w:themeColor="accent6" w:themeShade="BF"/>
                <w:sz w:val="48"/>
                <w:szCs w:val="48"/>
              </w:rPr>
            </w:pPr>
            <w:r w:rsidRPr="00570648">
              <w:rPr>
                <w:b/>
                <w:bCs/>
                <w:color w:val="C2260C" w:themeColor="accent6" w:themeShade="BF"/>
                <w:sz w:val="48"/>
                <w:szCs w:val="48"/>
              </w:rPr>
              <w:t>Testing</w:t>
            </w:r>
          </w:p>
          <w:p w14:paraId="0249B115" w14:textId="1ED17EF8" w:rsidR="00570648" w:rsidRPr="00607704" w:rsidRDefault="0096184B">
            <w:pPr>
              <w:pStyle w:val="ListParagraph"/>
              <w:numPr>
                <w:ilvl w:val="0"/>
                <w:numId w:val="2"/>
              </w:numPr>
              <w:rPr>
                <w:sz w:val="30"/>
                <w:szCs w:val="30"/>
              </w:rPr>
            </w:pPr>
            <w:r w:rsidRPr="00607704">
              <w:rPr>
                <w:sz w:val="30"/>
                <w:szCs w:val="30"/>
              </w:rPr>
              <w:t xml:space="preserve">ALL </w:t>
            </w:r>
            <w:r w:rsidR="00570648" w:rsidRPr="00607704">
              <w:rPr>
                <w:sz w:val="30"/>
                <w:szCs w:val="30"/>
              </w:rPr>
              <w:t>students must complete testing and provide results prior to re-entering in-person classes or other activities</w:t>
            </w:r>
          </w:p>
          <w:p w14:paraId="0BBDD1C9" w14:textId="77777777" w:rsidR="00570648" w:rsidRPr="00607704" w:rsidRDefault="00570648">
            <w:pPr>
              <w:pStyle w:val="ListParagraph"/>
              <w:numPr>
                <w:ilvl w:val="0"/>
                <w:numId w:val="2"/>
              </w:numPr>
              <w:rPr>
                <w:sz w:val="32"/>
                <w:szCs w:val="32"/>
              </w:rPr>
            </w:pPr>
            <w:r w:rsidRPr="00607704">
              <w:rPr>
                <w:sz w:val="30"/>
                <w:szCs w:val="30"/>
              </w:rPr>
              <w:t>Participate in community testing on February 3 (unless you are exempted)</w:t>
            </w:r>
          </w:p>
          <w:p w14:paraId="601B22CE" w14:textId="05E70BD6" w:rsidR="00735124" w:rsidRPr="00607704" w:rsidRDefault="00735124" w:rsidP="00607704">
            <w:pPr>
              <w:pStyle w:val="ListParagraph"/>
              <w:rPr>
                <w:sz w:val="12"/>
                <w:szCs w:val="12"/>
              </w:rPr>
            </w:pPr>
          </w:p>
        </w:tc>
      </w:tr>
      <w:tr w:rsidR="00570648" w14:paraId="0AC4BE5F" w14:textId="77777777" w:rsidTr="00165B29">
        <w:tc>
          <w:tcPr>
            <w:tcW w:w="985" w:type="dxa"/>
            <w:shd w:val="clear" w:color="auto" w:fill="F2F2F2" w:themeFill="background1" w:themeFillShade="F2"/>
            <w:vAlign w:val="center"/>
          </w:tcPr>
          <w:p w14:paraId="57524AE3" w14:textId="77777777" w:rsidR="00570648" w:rsidRPr="00011DBA" w:rsidRDefault="00570648" w:rsidP="00165B29">
            <w:pPr>
              <w:jc w:val="center"/>
              <w:rPr>
                <w:b/>
                <w:bCs/>
                <w:color w:val="0070C0"/>
                <w:sz w:val="144"/>
                <w:szCs w:val="144"/>
              </w:rPr>
            </w:pPr>
            <w:r w:rsidRPr="00011DBA">
              <w:rPr>
                <w:b/>
                <w:bCs/>
                <w:color w:val="0070C0"/>
                <w:sz w:val="144"/>
                <w:szCs w:val="144"/>
              </w:rPr>
              <w:t>3</w:t>
            </w:r>
          </w:p>
        </w:tc>
        <w:tc>
          <w:tcPr>
            <w:tcW w:w="13405" w:type="dxa"/>
            <w:shd w:val="clear" w:color="auto" w:fill="F2F2F2" w:themeFill="background1" w:themeFillShade="F2"/>
          </w:tcPr>
          <w:p w14:paraId="0B0FC182" w14:textId="77777777" w:rsidR="00570648" w:rsidRPr="008546AD" w:rsidRDefault="00570648" w:rsidP="00607704">
            <w:pPr>
              <w:rPr>
                <w:b/>
                <w:bCs/>
                <w:color w:val="C2260C" w:themeColor="accent6" w:themeShade="BF"/>
                <w:sz w:val="48"/>
                <w:szCs w:val="48"/>
              </w:rPr>
            </w:pPr>
            <w:r w:rsidRPr="008546AD">
              <w:rPr>
                <w:b/>
                <w:bCs/>
                <w:color w:val="C2260C" w:themeColor="accent6" w:themeShade="BF"/>
                <w:sz w:val="48"/>
                <w:szCs w:val="48"/>
              </w:rPr>
              <w:t>Alert Levels</w:t>
            </w:r>
          </w:p>
          <w:p w14:paraId="1D41D30E" w14:textId="458F3BAC" w:rsidR="00570648" w:rsidRDefault="00570648">
            <w:pPr>
              <w:rPr>
                <w:sz w:val="30"/>
                <w:szCs w:val="30"/>
              </w:rPr>
            </w:pPr>
            <w:r w:rsidRPr="00607704">
              <w:rPr>
                <w:sz w:val="30"/>
                <w:szCs w:val="30"/>
              </w:rPr>
              <w:t xml:space="preserve">CSB </w:t>
            </w:r>
            <w:r w:rsidR="00735124">
              <w:rPr>
                <w:sz w:val="30"/>
                <w:szCs w:val="30"/>
              </w:rPr>
              <w:t>&amp;</w:t>
            </w:r>
            <w:r w:rsidR="00735124" w:rsidRPr="00607704">
              <w:rPr>
                <w:sz w:val="30"/>
                <w:szCs w:val="30"/>
              </w:rPr>
              <w:t xml:space="preserve"> </w:t>
            </w:r>
            <w:r w:rsidRPr="00607704">
              <w:rPr>
                <w:sz w:val="30"/>
                <w:szCs w:val="30"/>
              </w:rPr>
              <w:t>SJU have established COVID Alert Levels to guide decision making. More information will be sent to the community, so all are aware of the information that is being used for decisions regarding campus health, safety and well-being.</w:t>
            </w:r>
          </w:p>
          <w:p w14:paraId="767F3FF0" w14:textId="0C25B29C" w:rsidR="00735124" w:rsidRPr="00607704" w:rsidRDefault="00735124" w:rsidP="00607704">
            <w:pPr>
              <w:rPr>
                <w:sz w:val="12"/>
                <w:szCs w:val="12"/>
              </w:rPr>
            </w:pPr>
          </w:p>
        </w:tc>
      </w:tr>
      <w:tr w:rsidR="00570648" w14:paraId="48872527" w14:textId="77777777" w:rsidTr="00165B29">
        <w:tc>
          <w:tcPr>
            <w:tcW w:w="985" w:type="dxa"/>
            <w:shd w:val="clear" w:color="auto" w:fill="D9D9D9" w:themeFill="background1" w:themeFillShade="D9"/>
            <w:vAlign w:val="center"/>
          </w:tcPr>
          <w:p w14:paraId="38C7F072" w14:textId="77777777" w:rsidR="00570648" w:rsidRPr="00011DBA" w:rsidRDefault="00570648" w:rsidP="00165B29">
            <w:pPr>
              <w:jc w:val="center"/>
              <w:rPr>
                <w:b/>
                <w:bCs/>
                <w:color w:val="0070C0"/>
                <w:sz w:val="144"/>
                <w:szCs w:val="144"/>
              </w:rPr>
            </w:pPr>
            <w:r w:rsidRPr="00011DBA">
              <w:rPr>
                <w:b/>
                <w:bCs/>
                <w:color w:val="0070C0"/>
                <w:sz w:val="144"/>
                <w:szCs w:val="144"/>
              </w:rPr>
              <w:t>4</w:t>
            </w:r>
          </w:p>
        </w:tc>
        <w:tc>
          <w:tcPr>
            <w:tcW w:w="13405" w:type="dxa"/>
            <w:shd w:val="clear" w:color="auto" w:fill="D9D9D9" w:themeFill="background1" w:themeFillShade="D9"/>
          </w:tcPr>
          <w:p w14:paraId="69600626" w14:textId="137005A4" w:rsidR="00570648" w:rsidRPr="008546AD" w:rsidRDefault="00570648" w:rsidP="00607704">
            <w:pPr>
              <w:rPr>
                <w:b/>
                <w:bCs/>
                <w:color w:val="C2260C" w:themeColor="accent6" w:themeShade="BF"/>
                <w:sz w:val="48"/>
                <w:szCs w:val="48"/>
              </w:rPr>
            </w:pPr>
            <w:r w:rsidRPr="008546AD">
              <w:rPr>
                <w:b/>
                <w:bCs/>
                <w:color w:val="C2260C" w:themeColor="accent6" w:themeShade="BF"/>
                <w:sz w:val="48"/>
                <w:szCs w:val="48"/>
              </w:rPr>
              <w:t>Guests</w:t>
            </w:r>
          </w:p>
          <w:p w14:paraId="23D8DD9D" w14:textId="4B951641" w:rsidR="00570648" w:rsidRPr="00607704" w:rsidRDefault="00570648">
            <w:pPr>
              <w:pStyle w:val="ListParagraph"/>
              <w:numPr>
                <w:ilvl w:val="0"/>
                <w:numId w:val="4"/>
              </w:numPr>
              <w:rPr>
                <w:sz w:val="30"/>
                <w:szCs w:val="30"/>
              </w:rPr>
            </w:pPr>
            <w:r w:rsidRPr="00607704">
              <w:rPr>
                <w:sz w:val="30"/>
                <w:szCs w:val="30"/>
              </w:rPr>
              <w:t>Guests are limited to members of the CSB &amp; SJU community. Each resident may have one guest in their living space (room/apartment) - 10 people max. at any indoor gathering</w:t>
            </w:r>
          </w:p>
          <w:p w14:paraId="51BA8289" w14:textId="3183A5DD" w:rsidR="00570648" w:rsidRPr="00607704" w:rsidRDefault="00735124">
            <w:pPr>
              <w:pStyle w:val="ListParagraph"/>
              <w:numPr>
                <w:ilvl w:val="0"/>
                <w:numId w:val="4"/>
              </w:numPr>
              <w:rPr>
                <w:sz w:val="30"/>
                <w:szCs w:val="30"/>
              </w:rPr>
            </w:pPr>
            <w:r>
              <w:rPr>
                <w:sz w:val="30"/>
                <w:szCs w:val="30"/>
              </w:rPr>
              <w:t>Guest</w:t>
            </w:r>
            <w:r w:rsidR="00570648" w:rsidRPr="00607704">
              <w:rPr>
                <w:sz w:val="30"/>
                <w:szCs w:val="30"/>
              </w:rPr>
              <w:t xml:space="preserve"> hours conclude at midnight each day</w:t>
            </w:r>
          </w:p>
          <w:p w14:paraId="22EC4E35" w14:textId="77777777" w:rsidR="00570648" w:rsidRPr="00607704" w:rsidRDefault="00570648">
            <w:pPr>
              <w:pStyle w:val="ListParagraph"/>
              <w:numPr>
                <w:ilvl w:val="0"/>
                <w:numId w:val="4"/>
              </w:numPr>
              <w:rPr>
                <w:sz w:val="32"/>
                <w:szCs w:val="32"/>
              </w:rPr>
            </w:pPr>
            <w:r w:rsidRPr="00607704">
              <w:rPr>
                <w:sz w:val="30"/>
                <w:szCs w:val="30"/>
              </w:rPr>
              <w:t>All other residential guest policies must also be followed</w:t>
            </w:r>
          </w:p>
          <w:p w14:paraId="7B2EABF1" w14:textId="014A8566" w:rsidR="00735124" w:rsidRPr="00607704" w:rsidRDefault="00735124" w:rsidP="00607704">
            <w:pPr>
              <w:pStyle w:val="ListParagraph"/>
              <w:rPr>
                <w:sz w:val="12"/>
                <w:szCs w:val="12"/>
              </w:rPr>
            </w:pPr>
          </w:p>
        </w:tc>
      </w:tr>
      <w:tr w:rsidR="00570648" w14:paraId="28E58E08" w14:textId="77777777" w:rsidTr="00165B29">
        <w:trPr>
          <w:trHeight w:val="1430"/>
        </w:trPr>
        <w:tc>
          <w:tcPr>
            <w:tcW w:w="985" w:type="dxa"/>
            <w:shd w:val="clear" w:color="auto" w:fill="F2F2F2" w:themeFill="background1" w:themeFillShade="F2"/>
            <w:vAlign w:val="center"/>
          </w:tcPr>
          <w:p w14:paraId="03A91287" w14:textId="77777777" w:rsidR="00570648" w:rsidRPr="00011DBA" w:rsidRDefault="00570648" w:rsidP="00165B29">
            <w:pPr>
              <w:jc w:val="center"/>
              <w:rPr>
                <w:b/>
                <w:bCs/>
                <w:color w:val="0070C0"/>
                <w:sz w:val="144"/>
                <w:szCs w:val="144"/>
              </w:rPr>
            </w:pPr>
            <w:r w:rsidRPr="00011DBA">
              <w:rPr>
                <w:b/>
                <w:bCs/>
                <w:color w:val="0070C0"/>
                <w:sz w:val="144"/>
                <w:szCs w:val="144"/>
              </w:rPr>
              <w:t>5</w:t>
            </w:r>
          </w:p>
        </w:tc>
        <w:tc>
          <w:tcPr>
            <w:tcW w:w="13405" w:type="dxa"/>
            <w:shd w:val="clear" w:color="auto" w:fill="F2F2F2" w:themeFill="background1" w:themeFillShade="F2"/>
          </w:tcPr>
          <w:p w14:paraId="083871DB" w14:textId="4E449DC7" w:rsidR="00570648" w:rsidRPr="008546AD" w:rsidRDefault="00570648" w:rsidP="00607704">
            <w:pPr>
              <w:rPr>
                <w:b/>
                <w:bCs/>
                <w:color w:val="C2260C" w:themeColor="accent6" w:themeShade="BF"/>
                <w:sz w:val="48"/>
                <w:szCs w:val="48"/>
              </w:rPr>
            </w:pPr>
            <w:r w:rsidRPr="008546AD">
              <w:rPr>
                <w:b/>
                <w:bCs/>
                <w:color w:val="C2260C" w:themeColor="accent6" w:themeShade="BF"/>
                <w:sz w:val="48"/>
                <w:szCs w:val="48"/>
              </w:rPr>
              <w:t>Link Bussing</w:t>
            </w:r>
            <w:r>
              <w:rPr>
                <w:b/>
                <w:bCs/>
                <w:color w:val="C2260C" w:themeColor="accent6" w:themeShade="BF"/>
                <w:sz w:val="48"/>
                <w:szCs w:val="48"/>
              </w:rPr>
              <w:t xml:space="preserve"> </w:t>
            </w:r>
          </w:p>
          <w:p w14:paraId="52748E26" w14:textId="0C953A07" w:rsidR="0096184B" w:rsidRPr="00607704" w:rsidRDefault="00570648">
            <w:pPr>
              <w:pStyle w:val="ListParagraph"/>
              <w:numPr>
                <w:ilvl w:val="0"/>
                <w:numId w:val="5"/>
              </w:numPr>
              <w:rPr>
                <w:sz w:val="30"/>
                <w:szCs w:val="30"/>
              </w:rPr>
            </w:pPr>
            <w:r w:rsidRPr="00607704">
              <w:rPr>
                <w:sz w:val="30"/>
                <w:szCs w:val="30"/>
              </w:rPr>
              <w:t xml:space="preserve">Last bus from CSB to SJU departs at midnight </w:t>
            </w:r>
            <w:r w:rsidR="0096184B" w:rsidRPr="00607704">
              <w:rPr>
                <w:sz w:val="30"/>
                <w:szCs w:val="30"/>
              </w:rPr>
              <w:t>each day</w:t>
            </w:r>
          </w:p>
          <w:p w14:paraId="5A1CC00F" w14:textId="4F1DFDBE" w:rsidR="00570648" w:rsidRPr="00607704" w:rsidRDefault="0096184B">
            <w:pPr>
              <w:pStyle w:val="ListParagraph"/>
              <w:numPr>
                <w:ilvl w:val="0"/>
                <w:numId w:val="5"/>
              </w:numPr>
              <w:rPr>
                <w:sz w:val="30"/>
                <w:szCs w:val="30"/>
              </w:rPr>
            </w:pPr>
            <w:r w:rsidRPr="00607704">
              <w:rPr>
                <w:sz w:val="30"/>
                <w:szCs w:val="30"/>
              </w:rPr>
              <w:t>L</w:t>
            </w:r>
            <w:r w:rsidR="00570648" w:rsidRPr="00607704">
              <w:rPr>
                <w:sz w:val="30"/>
                <w:szCs w:val="30"/>
              </w:rPr>
              <w:t>ast bus from SJU to CSB departs at 12:15am</w:t>
            </w:r>
            <w:r w:rsidR="00735124" w:rsidRPr="00607704">
              <w:rPr>
                <w:sz w:val="30"/>
                <w:szCs w:val="30"/>
              </w:rPr>
              <w:t xml:space="preserve"> each day</w:t>
            </w:r>
          </w:p>
          <w:p w14:paraId="178C992D" w14:textId="16A46346" w:rsidR="0096184B" w:rsidRPr="00607704" w:rsidRDefault="00735124">
            <w:pPr>
              <w:pStyle w:val="ListParagraph"/>
              <w:numPr>
                <w:ilvl w:val="0"/>
                <w:numId w:val="5"/>
              </w:numPr>
              <w:rPr>
                <w:sz w:val="32"/>
                <w:szCs w:val="32"/>
              </w:rPr>
            </w:pPr>
            <w:r>
              <w:rPr>
                <w:sz w:val="30"/>
                <w:szCs w:val="30"/>
              </w:rPr>
              <w:t>See t</w:t>
            </w:r>
            <w:r w:rsidR="0096184B" w:rsidRPr="00607704">
              <w:rPr>
                <w:sz w:val="30"/>
                <w:szCs w:val="30"/>
              </w:rPr>
              <w:t xml:space="preserve">he full bus schedule </w:t>
            </w:r>
            <w:hyperlink r:id="rId13" w:history="1">
              <w:r w:rsidR="0096184B" w:rsidRPr="00607704">
                <w:rPr>
                  <w:color w:val="34AB8A" w:themeColor="accent4" w:themeShade="BF"/>
                  <w:sz w:val="30"/>
                  <w:szCs w:val="30"/>
                  <w:u w:val="single"/>
                </w:rPr>
                <w:t>here</w:t>
              </w:r>
            </w:hyperlink>
          </w:p>
          <w:p w14:paraId="7874837F" w14:textId="5E810AEA" w:rsidR="00735124" w:rsidRPr="00607704" w:rsidRDefault="00735124" w:rsidP="00607704">
            <w:pPr>
              <w:pStyle w:val="ListParagraph"/>
              <w:rPr>
                <w:sz w:val="12"/>
                <w:szCs w:val="12"/>
              </w:rPr>
            </w:pPr>
          </w:p>
        </w:tc>
      </w:tr>
      <w:tr w:rsidR="00570648" w14:paraId="2A250F7D" w14:textId="77777777" w:rsidTr="00607704">
        <w:trPr>
          <w:trHeight w:val="1412"/>
        </w:trPr>
        <w:tc>
          <w:tcPr>
            <w:tcW w:w="985" w:type="dxa"/>
            <w:shd w:val="clear" w:color="auto" w:fill="D9D9D9" w:themeFill="background1" w:themeFillShade="D9"/>
            <w:vAlign w:val="center"/>
          </w:tcPr>
          <w:p w14:paraId="09869C28" w14:textId="77777777" w:rsidR="00570648" w:rsidRPr="00011DBA" w:rsidRDefault="00570648" w:rsidP="00165B29">
            <w:pPr>
              <w:jc w:val="center"/>
              <w:rPr>
                <w:b/>
                <w:bCs/>
                <w:color w:val="0070C0"/>
                <w:sz w:val="144"/>
                <w:szCs w:val="144"/>
              </w:rPr>
            </w:pPr>
            <w:r w:rsidRPr="00011DBA">
              <w:rPr>
                <w:b/>
                <w:bCs/>
                <w:color w:val="0070C0"/>
                <w:sz w:val="144"/>
                <w:szCs w:val="144"/>
              </w:rPr>
              <w:t>6</w:t>
            </w:r>
          </w:p>
        </w:tc>
        <w:tc>
          <w:tcPr>
            <w:tcW w:w="13405" w:type="dxa"/>
            <w:shd w:val="clear" w:color="auto" w:fill="D9D9D9" w:themeFill="background1" w:themeFillShade="D9"/>
          </w:tcPr>
          <w:p w14:paraId="0C215671" w14:textId="77777777" w:rsidR="00570648" w:rsidRPr="008546AD" w:rsidRDefault="00570648" w:rsidP="00607704">
            <w:pPr>
              <w:rPr>
                <w:b/>
                <w:bCs/>
                <w:color w:val="C2260C" w:themeColor="accent6" w:themeShade="BF"/>
                <w:sz w:val="48"/>
                <w:szCs w:val="48"/>
              </w:rPr>
            </w:pPr>
            <w:r w:rsidRPr="008546AD">
              <w:rPr>
                <w:b/>
                <w:bCs/>
                <w:color w:val="C2260C" w:themeColor="accent6" w:themeShade="BF"/>
                <w:sz w:val="48"/>
                <w:szCs w:val="48"/>
              </w:rPr>
              <w:t>Campus Dining</w:t>
            </w:r>
          </w:p>
          <w:p w14:paraId="75FDF175" w14:textId="4C9C46A7" w:rsidR="00570648" w:rsidRPr="00607704" w:rsidRDefault="00570648" w:rsidP="00607704">
            <w:pPr>
              <w:rPr>
                <w:sz w:val="30"/>
                <w:szCs w:val="30"/>
              </w:rPr>
            </w:pPr>
            <w:r w:rsidRPr="00607704">
              <w:rPr>
                <w:sz w:val="30"/>
                <w:szCs w:val="30"/>
              </w:rPr>
              <w:t>All dining operations will be open for students and will continue to provide service in compliance with current MDH guidelines. Gloves will no longer be required.</w:t>
            </w:r>
          </w:p>
        </w:tc>
      </w:tr>
      <w:tr w:rsidR="00570648" w14:paraId="0D024A40" w14:textId="77777777" w:rsidTr="00165B29">
        <w:tc>
          <w:tcPr>
            <w:tcW w:w="985" w:type="dxa"/>
            <w:shd w:val="clear" w:color="auto" w:fill="F2F2F2" w:themeFill="background1" w:themeFillShade="F2"/>
            <w:vAlign w:val="center"/>
          </w:tcPr>
          <w:p w14:paraId="6ACFFD28" w14:textId="77777777" w:rsidR="00570648" w:rsidRPr="00011DBA" w:rsidRDefault="00570648" w:rsidP="00165B29">
            <w:pPr>
              <w:jc w:val="center"/>
              <w:rPr>
                <w:b/>
                <w:bCs/>
                <w:color w:val="0070C0"/>
                <w:sz w:val="144"/>
                <w:szCs w:val="144"/>
              </w:rPr>
            </w:pPr>
            <w:r w:rsidRPr="00011DBA">
              <w:rPr>
                <w:b/>
                <w:bCs/>
                <w:color w:val="0070C0"/>
                <w:sz w:val="144"/>
                <w:szCs w:val="144"/>
              </w:rPr>
              <w:t>7</w:t>
            </w:r>
          </w:p>
        </w:tc>
        <w:tc>
          <w:tcPr>
            <w:tcW w:w="13405" w:type="dxa"/>
            <w:shd w:val="clear" w:color="auto" w:fill="F2F2F2" w:themeFill="background1" w:themeFillShade="F2"/>
          </w:tcPr>
          <w:p w14:paraId="482FE410" w14:textId="77777777" w:rsidR="00570648" w:rsidRPr="008546AD" w:rsidRDefault="00570648" w:rsidP="00607704">
            <w:pPr>
              <w:rPr>
                <w:b/>
                <w:bCs/>
                <w:color w:val="C2260C" w:themeColor="accent6" w:themeShade="BF"/>
                <w:sz w:val="48"/>
                <w:szCs w:val="48"/>
              </w:rPr>
            </w:pPr>
            <w:r w:rsidRPr="008546AD">
              <w:rPr>
                <w:b/>
                <w:bCs/>
                <w:color w:val="C2260C" w:themeColor="accent6" w:themeShade="BF"/>
                <w:sz w:val="48"/>
                <w:szCs w:val="48"/>
              </w:rPr>
              <w:t>Programming</w:t>
            </w:r>
          </w:p>
          <w:p w14:paraId="704D0F74" w14:textId="224F4C56" w:rsidR="00570648" w:rsidRPr="00607704" w:rsidRDefault="00570648">
            <w:pPr>
              <w:pStyle w:val="ListParagraph"/>
              <w:numPr>
                <w:ilvl w:val="0"/>
                <w:numId w:val="7"/>
              </w:numPr>
              <w:rPr>
                <w:sz w:val="30"/>
                <w:szCs w:val="30"/>
              </w:rPr>
            </w:pPr>
            <w:r w:rsidRPr="00607704">
              <w:rPr>
                <w:sz w:val="30"/>
                <w:szCs w:val="30"/>
              </w:rPr>
              <w:t xml:space="preserve">Student clubs and organizations as well as campus departments will be able to have indoor, in-person meetings and programs with 15 or fewer people beginning January 25, 2021 </w:t>
            </w:r>
          </w:p>
          <w:p w14:paraId="5756C695" w14:textId="093866F2" w:rsidR="00570648" w:rsidRPr="00607704" w:rsidRDefault="00570648">
            <w:pPr>
              <w:pStyle w:val="ListParagraph"/>
              <w:numPr>
                <w:ilvl w:val="0"/>
                <w:numId w:val="7"/>
              </w:numPr>
              <w:rPr>
                <w:sz w:val="30"/>
                <w:szCs w:val="30"/>
              </w:rPr>
            </w:pPr>
            <w:r w:rsidRPr="00607704">
              <w:rPr>
                <w:sz w:val="30"/>
                <w:szCs w:val="30"/>
              </w:rPr>
              <w:t xml:space="preserve">Programs </w:t>
            </w:r>
            <w:r w:rsidR="0096184B" w:rsidRPr="00607704">
              <w:rPr>
                <w:sz w:val="30"/>
                <w:szCs w:val="30"/>
              </w:rPr>
              <w:t xml:space="preserve">must </w:t>
            </w:r>
            <w:r w:rsidRPr="00607704">
              <w:rPr>
                <w:sz w:val="30"/>
                <w:szCs w:val="30"/>
              </w:rPr>
              <w:t>allow participants to be stationary</w:t>
            </w:r>
            <w:r w:rsidR="0096184B" w:rsidRPr="00607704">
              <w:rPr>
                <w:sz w:val="30"/>
                <w:szCs w:val="30"/>
              </w:rPr>
              <w:t xml:space="preserve"> and comply with masking and social distancing expectations</w:t>
            </w:r>
          </w:p>
          <w:p w14:paraId="643E0874" w14:textId="39317581" w:rsidR="00570648" w:rsidRPr="00607704" w:rsidRDefault="00570648">
            <w:pPr>
              <w:pStyle w:val="ListParagraph"/>
              <w:numPr>
                <w:ilvl w:val="0"/>
                <w:numId w:val="7"/>
              </w:numPr>
              <w:rPr>
                <w:sz w:val="32"/>
                <w:szCs w:val="32"/>
              </w:rPr>
            </w:pPr>
            <w:r w:rsidRPr="00607704">
              <w:rPr>
                <w:sz w:val="30"/>
                <w:szCs w:val="30"/>
              </w:rPr>
              <w:t>Attendance capacities will increase based on COVID</w:t>
            </w:r>
            <w:r w:rsidR="0096184B" w:rsidRPr="00607704">
              <w:rPr>
                <w:sz w:val="30"/>
                <w:szCs w:val="30"/>
              </w:rPr>
              <w:t>-19</w:t>
            </w:r>
            <w:r w:rsidRPr="00607704">
              <w:rPr>
                <w:sz w:val="30"/>
                <w:szCs w:val="30"/>
              </w:rPr>
              <w:t xml:space="preserve"> positivity rate on campus and other health and safety factors</w:t>
            </w:r>
          </w:p>
          <w:p w14:paraId="370D1C45" w14:textId="3B81238F" w:rsidR="00735124" w:rsidRPr="00607704" w:rsidRDefault="00735124" w:rsidP="00607704">
            <w:pPr>
              <w:rPr>
                <w:sz w:val="12"/>
                <w:szCs w:val="12"/>
              </w:rPr>
            </w:pPr>
          </w:p>
        </w:tc>
      </w:tr>
      <w:tr w:rsidR="00570648" w14:paraId="1132053A" w14:textId="77777777" w:rsidTr="00165B29">
        <w:tc>
          <w:tcPr>
            <w:tcW w:w="985" w:type="dxa"/>
            <w:shd w:val="clear" w:color="auto" w:fill="D9D9D9" w:themeFill="background1" w:themeFillShade="D9"/>
            <w:vAlign w:val="center"/>
          </w:tcPr>
          <w:p w14:paraId="2BE74228" w14:textId="77777777" w:rsidR="00570648" w:rsidRPr="00011DBA" w:rsidRDefault="00570648" w:rsidP="00165B29">
            <w:pPr>
              <w:jc w:val="center"/>
              <w:rPr>
                <w:b/>
                <w:bCs/>
                <w:color w:val="0070C0"/>
                <w:sz w:val="144"/>
                <w:szCs w:val="144"/>
              </w:rPr>
            </w:pPr>
            <w:r w:rsidRPr="00011DBA">
              <w:rPr>
                <w:b/>
                <w:bCs/>
                <w:color w:val="0070C0"/>
                <w:sz w:val="144"/>
                <w:szCs w:val="144"/>
              </w:rPr>
              <w:t>8</w:t>
            </w:r>
          </w:p>
        </w:tc>
        <w:tc>
          <w:tcPr>
            <w:tcW w:w="13405" w:type="dxa"/>
            <w:shd w:val="clear" w:color="auto" w:fill="D9D9D9" w:themeFill="background1" w:themeFillShade="D9"/>
          </w:tcPr>
          <w:p w14:paraId="61E1C841" w14:textId="29735BE2" w:rsidR="00570648" w:rsidRPr="008546AD" w:rsidRDefault="00570648" w:rsidP="00607704">
            <w:pPr>
              <w:rPr>
                <w:b/>
                <w:bCs/>
                <w:color w:val="C2260C" w:themeColor="accent6" w:themeShade="BF"/>
                <w:sz w:val="48"/>
                <w:szCs w:val="48"/>
              </w:rPr>
            </w:pPr>
            <w:r w:rsidRPr="008546AD">
              <w:rPr>
                <w:b/>
                <w:bCs/>
                <w:color w:val="C2260C" w:themeColor="accent6" w:themeShade="BF"/>
                <w:sz w:val="48"/>
                <w:szCs w:val="48"/>
              </w:rPr>
              <w:t>Campus Activities</w:t>
            </w:r>
            <w:r>
              <w:rPr>
                <w:b/>
                <w:bCs/>
                <w:color w:val="C2260C" w:themeColor="accent6" w:themeShade="BF"/>
                <w:sz w:val="48"/>
                <w:szCs w:val="48"/>
              </w:rPr>
              <w:t xml:space="preserve"> </w:t>
            </w:r>
          </w:p>
          <w:p w14:paraId="4CA26C31" w14:textId="4998A7B2" w:rsidR="00570648" w:rsidRPr="00607704" w:rsidRDefault="00570648" w:rsidP="00607704">
            <w:pPr>
              <w:pStyle w:val="ListParagraph"/>
              <w:numPr>
                <w:ilvl w:val="0"/>
                <w:numId w:val="8"/>
              </w:numPr>
              <w:rPr>
                <w:sz w:val="30"/>
                <w:szCs w:val="30"/>
              </w:rPr>
            </w:pPr>
            <w:r w:rsidRPr="00607704">
              <w:rPr>
                <w:sz w:val="30"/>
                <w:szCs w:val="30"/>
              </w:rPr>
              <w:t>Download the FREE CSB/SJU Bulletin App (for Android and iOS) for the most current campus information, events, and activities</w:t>
            </w:r>
          </w:p>
          <w:p w14:paraId="6BCE175E" w14:textId="77777777" w:rsidR="0096184B" w:rsidRPr="00607704" w:rsidRDefault="0096184B" w:rsidP="00607704">
            <w:pPr>
              <w:pStyle w:val="ListParagraph"/>
              <w:numPr>
                <w:ilvl w:val="0"/>
                <w:numId w:val="8"/>
              </w:numPr>
              <w:rPr>
                <w:sz w:val="32"/>
                <w:szCs w:val="32"/>
              </w:rPr>
            </w:pPr>
            <w:r w:rsidRPr="00607704">
              <w:rPr>
                <w:sz w:val="30"/>
                <w:szCs w:val="30"/>
              </w:rPr>
              <w:t xml:space="preserve">Check the </w:t>
            </w:r>
            <w:hyperlink r:id="rId14" w:history="1">
              <w:r w:rsidRPr="00607704">
                <w:rPr>
                  <w:color w:val="34AB8A" w:themeColor="accent4" w:themeShade="BF"/>
                  <w:sz w:val="30"/>
                  <w:szCs w:val="30"/>
                  <w:u w:val="single"/>
                </w:rPr>
                <w:t>CSB/SJU Events Calendar</w:t>
              </w:r>
            </w:hyperlink>
            <w:r w:rsidRPr="00607704">
              <w:rPr>
                <w:sz w:val="30"/>
                <w:szCs w:val="30"/>
              </w:rPr>
              <w:t xml:space="preserve"> regularly!</w:t>
            </w:r>
          </w:p>
          <w:p w14:paraId="2DCC49A5" w14:textId="3AD72C5F" w:rsidR="00735124" w:rsidRPr="00607704" w:rsidRDefault="00735124" w:rsidP="00607704">
            <w:pPr>
              <w:pStyle w:val="ListParagraph"/>
              <w:rPr>
                <w:sz w:val="12"/>
                <w:szCs w:val="12"/>
              </w:rPr>
            </w:pPr>
          </w:p>
        </w:tc>
      </w:tr>
      <w:tr w:rsidR="00570648" w14:paraId="629D8F94" w14:textId="77777777" w:rsidTr="00165B29">
        <w:tc>
          <w:tcPr>
            <w:tcW w:w="985" w:type="dxa"/>
            <w:shd w:val="clear" w:color="auto" w:fill="F2F2F2" w:themeFill="background1" w:themeFillShade="F2"/>
            <w:vAlign w:val="center"/>
          </w:tcPr>
          <w:p w14:paraId="46FF4415" w14:textId="77777777" w:rsidR="00570648" w:rsidRPr="00011DBA" w:rsidRDefault="00570648" w:rsidP="00165B29">
            <w:pPr>
              <w:jc w:val="center"/>
              <w:rPr>
                <w:b/>
                <w:bCs/>
                <w:color w:val="0070C0"/>
                <w:sz w:val="144"/>
                <w:szCs w:val="144"/>
              </w:rPr>
            </w:pPr>
            <w:r w:rsidRPr="00011DBA">
              <w:rPr>
                <w:b/>
                <w:bCs/>
                <w:color w:val="0070C0"/>
                <w:sz w:val="144"/>
                <w:szCs w:val="144"/>
              </w:rPr>
              <w:t>9</w:t>
            </w:r>
          </w:p>
        </w:tc>
        <w:tc>
          <w:tcPr>
            <w:tcW w:w="13405" w:type="dxa"/>
            <w:shd w:val="clear" w:color="auto" w:fill="F2F2F2" w:themeFill="background1" w:themeFillShade="F2"/>
          </w:tcPr>
          <w:p w14:paraId="49E3B471" w14:textId="00663328" w:rsidR="00570648" w:rsidRPr="008546AD" w:rsidRDefault="00570648" w:rsidP="00607704">
            <w:pPr>
              <w:rPr>
                <w:b/>
                <w:bCs/>
                <w:color w:val="C2260C" w:themeColor="accent6" w:themeShade="BF"/>
                <w:sz w:val="48"/>
                <w:szCs w:val="48"/>
              </w:rPr>
            </w:pPr>
            <w:r w:rsidRPr="008546AD">
              <w:rPr>
                <w:b/>
                <w:bCs/>
                <w:color w:val="C2260C" w:themeColor="accent6" w:themeShade="BF"/>
                <w:sz w:val="48"/>
                <w:szCs w:val="48"/>
              </w:rPr>
              <w:t xml:space="preserve">Health </w:t>
            </w:r>
            <w:r w:rsidR="00735124">
              <w:rPr>
                <w:b/>
                <w:bCs/>
                <w:color w:val="C2260C" w:themeColor="accent6" w:themeShade="BF"/>
                <w:sz w:val="48"/>
                <w:szCs w:val="48"/>
              </w:rPr>
              <w:t>&amp;</w:t>
            </w:r>
            <w:r w:rsidR="00735124" w:rsidRPr="008546AD">
              <w:rPr>
                <w:b/>
                <w:bCs/>
                <w:color w:val="C2260C" w:themeColor="accent6" w:themeShade="BF"/>
                <w:sz w:val="48"/>
                <w:szCs w:val="48"/>
              </w:rPr>
              <w:t xml:space="preserve"> </w:t>
            </w:r>
            <w:r w:rsidRPr="008546AD">
              <w:rPr>
                <w:b/>
                <w:bCs/>
                <w:color w:val="C2260C" w:themeColor="accent6" w:themeShade="BF"/>
                <w:sz w:val="48"/>
                <w:szCs w:val="48"/>
              </w:rPr>
              <w:t>Wellness</w:t>
            </w:r>
          </w:p>
          <w:p w14:paraId="3F8E3296" w14:textId="3105FD67" w:rsidR="00570648" w:rsidRPr="00607704" w:rsidRDefault="00570648" w:rsidP="00607704">
            <w:pPr>
              <w:pStyle w:val="ListParagraph"/>
              <w:numPr>
                <w:ilvl w:val="0"/>
                <w:numId w:val="9"/>
              </w:numPr>
              <w:rPr>
                <w:sz w:val="30"/>
                <w:szCs w:val="30"/>
              </w:rPr>
            </w:pPr>
            <w:r w:rsidRPr="00607704">
              <w:rPr>
                <w:sz w:val="30"/>
                <w:szCs w:val="30"/>
              </w:rPr>
              <w:t xml:space="preserve">Prioritize your health and wellness and make use of the many resources offered by </w:t>
            </w:r>
            <w:hyperlink r:id="rId15" w:history="1">
              <w:r w:rsidRPr="00607704">
                <w:rPr>
                  <w:color w:val="34AB8A" w:themeColor="accent4" w:themeShade="BF"/>
                  <w:sz w:val="30"/>
                  <w:szCs w:val="30"/>
                  <w:u w:val="single"/>
                </w:rPr>
                <w:t>Counseling &amp; Health Promotion</w:t>
              </w:r>
            </w:hyperlink>
          </w:p>
          <w:p w14:paraId="6DC11E49" w14:textId="50BAEE0A" w:rsidR="00570648" w:rsidRPr="00607704" w:rsidRDefault="00570648" w:rsidP="00607704">
            <w:pPr>
              <w:pStyle w:val="ListParagraph"/>
              <w:numPr>
                <w:ilvl w:val="0"/>
                <w:numId w:val="9"/>
              </w:numPr>
              <w:rPr>
                <w:sz w:val="32"/>
                <w:szCs w:val="32"/>
              </w:rPr>
            </w:pPr>
            <w:r w:rsidRPr="00607704">
              <w:rPr>
                <w:sz w:val="30"/>
                <w:szCs w:val="30"/>
              </w:rPr>
              <w:t xml:space="preserve">Take advantage of the fitness and recreation activities at </w:t>
            </w:r>
            <w:hyperlink r:id="rId16" w:history="1">
              <w:r w:rsidRPr="00607704">
                <w:rPr>
                  <w:color w:val="34AB8A" w:themeColor="accent4" w:themeShade="BF"/>
                  <w:sz w:val="30"/>
                  <w:szCs w:val="30"/>
                  <w:u w:val="single"/>
                </w:rPr>
                <w:t>CSB</w:t>
              </w:r>
            </w:hyperlink>
            <w:r w:rsidRPr="00607704">
              <w:rPr>
                <w:sz w:val="30"/>
                <w:szCs w:val="30"/>
              </w:rPr>
              <w:t xml:space="preserve"> and </w:t>
            </w:r>
            <w:hyperlink r:id="rId17" w:history="1">
              <w:r w:rsidRPr="00607704">
                <w:rPr>
                  <w:color w:val="34AB8A" w:themeColor="accent4" w:themeShade="BF"/>
                  <w:sz w:val="30"/>
                  <w:szCs w:val="30"/>
                  <w:u w:val="single"/>
                </w:rPr>
                <w:t>SJU</w:t>
              </w:r>
            </w:hyperlink>
            <w:r w:rsidR="0096184B" w:rsidRPr="00607704">
              <w:rPr>
                <w:sz w:val="30"/>
                <w:szCs w:val="30"/>
              </w:rPr>
              <w:t>, including</w:t>
            </w:r>
            <w:r w:rsidRPr="00607704">
              <w:rPr>
                <w:sz w:val="30"/>
                <w:szCs w:val="30"/>
              </w:rPr>
              <w:t xml:space="preserve"> intramurals, fitness center, group exercise and more</w:t>
            </w:r>
          </w:p>
          <w:p w14:paraId="4D376EAC" w14:textId="5C636FB3" w:rsidR="00735124" w:rsidRPr="00607704" w:rsidRDefault="00735124" w:rsidP="00607704">
            <w:pPr>
              <w:pStyle w:val="ListParagraph"/>
              <w:rPr>
                <w:sz w:val="12"/>
                <w:szCs w:val="12"/>
              </w:rPr>
            </w:pPr>
          </w:p>
        </w:tc>
      </w:tr>
      <w:tr w:rsidR="00570648" w14:paraId="2F1B8E45" w14:textId="77777777" w:rsidTr="00165B29">
        <w:tc>
          <w:tcPr>
            <w:tcW w:w="985" w:type="dxa"/>
            <w:shd w:val="clear" w:color="auto" w:fill="D9D9D9" w:themeFill="background1" w:themeFillShade="D9"/>
            <w:vAlign w:val="center"/>
          </w:tcPr>
          <w:p w14:paraId="519A0B76" w14:textId="77777777" w:rsidR="00570648" w:rsidRPr="00011DBA" w:rsidRDefault="00570648" w:rsidP="00165B29">
            <w:pPr>
              <w:jc w:val="center"/>
              <w:rPr>
                <w:b/>
                <w:bCs/>
                <w:color w:val="0070C0"/>
                <w:sz w:val="144"/>
                <w:szCs w:val="144"/>
              </w:rPr>
            </w:pPr>
            <w:r w:rsidRPr="00011DBA">
              <w:rPr>
                <w:b/>
                <w:bCs/>
                <w:color w:val="0070C0"/>
                <w:sz w:val="144"/>
                <w:szCs w:val="144"/>
              </w:rPr>
              <w:t>10</w:t>
            </w:r>
          </w:p>
        </w:tc>
        <w:tc>
          <w:tcPr>
            <w:tcW w:w="13405" w:type="dxa"/>
            <w:shd w:val="clear" w:color="auto" w:fill="D9D9D9" w:themeFill="background1" w:themeFillShade="D9"/>
          </w:tcPr>
          <w:p w14:paraId="1DB6A0E2" w14:textId="2E4AE92C" w:rsidR="00570648" w:rsidRPr="008546AD" w:rsidRDefault="00570648" w:rsidP="00165B29">
            <w:pPr>
              <w:spacing w:line="276" w:lineRule="auto"/>
              <w:rPr>
                <w:b/>
                <w:bCs/>
                <w:color w:val="C2260C" w:themeColor="accent6" w:themeShade="BF"/>
                <w:sz w:val="48"/>
                <w:szCs w:val="48"/>
              </w:rPr>
            </w:pPr>
            <w:r w:rsidRPr="008546AD">
              <w:rPr>
                <w:b/>
                <w:bCs/>
                <w:color w:val="C2260C" w:themeColor="accent6" w:themeShade="BF"/>
                <w:sz w:val="48"/>
                <w:szCs w:val="48"/>
              </w:rPr>
              <w:t>Athletics, Club Sports &amp; Intramurals</w:t>
            </w:r>
          </w:p>
          <w:p w14:paraId="0246D0FA" w14:textId="354771F9" w:rsidR="00570648" w:rsidRPr="00607704" w:rsidRDefault="00570648" w:rsidP="00570648">
            <w:pPr>
              <w:pStyle w:val="ListParagraph"/>
              <w:numPr>
                <w:ilvl w:val="0"/>
                <w:numId w:val="10"/>
              </w:numPr>
              <w:spacing w:line="276" w:lineRule="auto"/>
              <w:ind w:left="750"/>
              <w:rPr>
                <w:sz w:val="30"/>
                <w:szCs w:val="30"/>
              </w:rPr>
            </w:pPr>
            <w:r w:rsidRPr="00607704">
              <w:rPr>
                <w:sz w:val="30"/>
                <w:szCs w:val="30"/>
              </w:rPr>
              <w:t xml:space="preserve">Intercollegiate </w:t>
            </w:r>
            <w:r w:rsidR="00735124">
              <w:rPr>
                <w:sz w:val="30"/>
                <w:szCs w:val="30"/>
              </w:rPr>
              <w:t>a</w:t>
            </w:r>
            <w:r w:rsidRPr="00607704">
              <w:rPr>
                <w:sz w:val="30"/>
                <w:szCs w:val="30"/>
              </w:rPr>
              <w:t xml:space="preserve">thletics, </w:t>
            </w:r>
            <w:r w:rsidR="00735124">
              <w:rPr>
                <w:sz w:val="30"/>
                <w:szCs w:val="30"/>
              </w:rPr>
              <w:t>c</w:t>
            </w:r>
            <w:r w:rsidRPr="00607704">
              <w:rPr>
                <w:sz w:val="30"/>
                <w:szCs w:val="30"/>
              </w:rPr>
              <w:t xml:space="preserve">lub </w:t>
            </w:r>
            <w:r w:rsidR="00735124">
              <w:rPr>
                <w:sz w:val="30"/>
                <w:szCs w:val="30"/>
              </w:rPr>
              <w:t>s</w:t>
            </w:r>
            <w:r w:rsidRPr="00607704">
              <w:rPr>
                <w:sz w:val="30"/>
                <w:szCs w:val="30"/>
              </w:rPr>
              <w:t xml:space="preserve">ports and </w:t>
            </w:r>
            <w:r w:rsidR="00735124">
              <w:rPr>
                <w:sz w:val="30"/>
                <w:szCs w:val="30"/>
              </w:rPr>
              <w:t>i</w:t>
            </w:r>
            <w:r w:rsidRPr="00607704">
              <w:rPr>
                <w:sz w:val="30"/>
                <w:szCs w:val="30"/>
              </w:rPr>
              <w:t>ntramurals will begin practice and competitions following the regulations established by M</w:t>
            </w:r>
            <w:r w:rsidR="00735124" w:rsidRPr="00607704">
              <w:rPr>
                <w:sz w:val="30"/>
                <w:szCs w:val="30"/>
              </w:rPr>
              <w:t>DH</w:t>
            </w:r>
            <w:r w:rsidRPr="00607704">
              <w:rPr>
                <w:sz w:val="30"/>
                <w:szCs w:val="30"/>
              </w:rPr>
              <w:t>, MIAC and NCAA</w:t>
            </w:r>
          </w:p>
          <w:p w14:paraId="4EE0679B" w14:textId="10EC3F51" w:rsidR="00570648" w:rsidRPr="00607704" w:rsidRDefault="00570648" w:rsidP="00570648">
            <w:pPr>
              <w:pStyle w:val="ListParagraph"/>
              <w:numPr>
                <w:ilvl w:val="0"/>
                <w:numId w:val="10"/>
              </w:numPr>
              <w:spacing w:line="276" w:lineRule="auto"/>
              <w:ind w:left="750"/>
              <w:rPr>
                <w:sz w:val="32"/>
                <w:szCs w:val="32"/>
              </w:rPr>
            </w:pPr>
            <w:r w:rsidRPr="00607704">
              <w:rPr>
                <w:sz w:val="30"/>
                <w:szCs w:val="30"/>
              </w:rPr>
              <w:t>Spectators are not allowed at this time, but live streaming of some events will be available!  Check the Bennie and Johnnie Athletics websites for more information</w:t>
            </w:r>
            <w:r w:rsidR="00735124" w:rsidRPr="00607704">
              <w:rPr>
                <w:sz w:val="30"/>
                <w:szCs w:val="30"/>
              </w:rPr>
              <w:t>.</w:t>
            </w:r>
          </w:p>
          <w:p w14:paraId="71CBB63F" w14:textId="66B52885" w:rsidR="00735124" w:rsidRPr="00607704" w:rsidRDefault="00735124" w:rsidP="00607704">
            <w:pPr>
              <w:pStyle w:val="ListParagraph"/>
              <w:spacing w:line="276" w:lineRule="auto"/>
              <w:ind w:left="750"/>
              <w:rPr>
                <w:sz w:val="12"/>
                <w:szCs w:val="12"/>
              </w:rPr>
            </w:pPr>
          </w:p>
        </w:tc>
      </w:tr>
    </w:tbl>
    <w:p w14:paraId="7A50D727" w14:textId="204F5D31" w:rsidR="00570648" w:rsidRPr="00570648" w:rsidRDefault="00570648" w:rsidP="00570648">
      <w:pPr>
        <w:rPr>
          <w:sz w:val="2"/>
          <w:szCs w:val="2"/>
        </w:rPr>
      </w:pPr>
    </w:p>
    <w:sectPr w:rsidR="00570648" w:rsidRPr="00570648" w:rsidSect="00570648">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7958"/>
    <w:multiLevelType w:val="hybridMultilevel"/>
    <w:tmpl w:val="0CB83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F35D4"/>
    <w:multiLevelType w:val="hybridMultilevel"/>
    <w:tmpl w:val="49663F24"/>
    <w:lvl w:ilvl="0" w:tplc="93B03F58">
      <w:start w:val="1"/>
      <w:numFmt w:val="bullet"/>
      <w:lvlText w:val=""/>
      <w:lvlJc w:val="left"/>
      <w:pPr>
        <w:ind w:left="720" w:hanging="360"/>
      </w:pPr>
      <w:rPr>
        <w:rFonts w:ascii="Wingdings" w:hAnsi="Wingdings"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54C04"/>
    <w:multiLevelType w:val="hybridMultilevel"/>
    <w:tmpl w:val="E32C8BA0"/>
    <w:lvl w:ilvl="0" w:tplc="1DCEB9DA">
      <w:start w:val="1"/>
      <w:numFmt w:val="bullet"/>
      <w:lvlText w:val=""/>
      <w:lvlJc w:val="left"/>
      <w:pPr>
        <w:ind w:left="1080" w:hanging="360"/>
      </w:pPr>
      <w:rPr>
        <w:rFonts w:ascii="Wingdings" w:hAnsi="Wingdings" w:hint="default"/>
        <w:sz w:val="30"/>
        <w:szCs w:val="3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9E6B4B"/>
    <w:multiLevelType w:val="hybridMultilevel"/>
    <w:tmpl w:val="FFB6A476"/>
    <w:lvl w:ilvl="0" w:tplc="CDB423C2">
      <w:start w:val="1"/>
      <w:numFmt w:val="bullet"/>
      <w:lvlText w:val=""/>
      <w:lvlJc w:val="left"/>
      <w:pPr>
        <w:ind w:left="720" w:hanging="360"/>
      </w:pPr>
      <w:rPr>
        <w:rFonts w:ascii="Wingdings" w:hAnsi="Wingdings" w:hint="default"/>
        <w:sz w:val="30"/>
        <w:szCs w:val="3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3170E"/>
    <w:multiLevelType w:val="hybridMultilevel"/>
    <w:tmpl w:val="71986CB8"/>
    <w:lvl w:ilvl="0" w:tplc="26ECA9C0">
      <w:start w:val="1"/>
      <w:numFmt w:val="bullet"/>
      <w:lvlText w:val=""/>
      <w:lvlJc w:val="left"/>
      <w:pPr>
        <w:ind w:left="720" w:hanging="360"/>
      </w:pPr>
      <w:rPr>
        <w:rFonts w:ascii="Wingdings" w:hAnsi="Wingdings"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1505F"/>
    <w:multiLevelType w:val="hybridMultilevel"/>
    <w:tmpl w:val="38741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11BB4"/>
    <w:multiLevelType w:val="hybridMultilevel"/>
    <w:tmpl w:val="480C7F1C"/>
    <w:lvl w:ilvl="0" w:tplc="F4D421D8">
      <w:start w:val="1"/>
      <w:numFmt w:val="bullet"/>
      <w:lvlText w:val=""/>
      <w:lvlJc w:val="left"/>
      <w:pPr>
        <w:ind w:left="720" w:hanging="360"/>
      </w:pPr>
      <w:rPr>
        <w:rFonts w:ascii="Wingdings" w:hAnsi="Wingdings"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C6B5C"/>
    <w:multiLevelType w:val="hybridMultilevel"/>
    <w:tmpl w:val="C2001AC6"/>
    <w:lvl w:ilvl="0" w:tplc="9432BF8E">
      <w:start w:val="1"/>
      <w:numFmt w:val="bullet"/>
      <w:lvlText w:val=""/>
      <w:lvlJc w:val="left"/>
      <w:pPr>
        <w:ind w:left="720" w:hanging="360"/>
      </w:pPr>
      <w:rPr>
        <w:rFonts w:ascii="Wingdings" w:hAnsi="Wingdings"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9125D"/>
    <w:multiLevelType w:val="hybridMultilevel"/>
    <w:tmpl w:val="566A7D86"/>
    <w:lvl w:ilvl="0" w:tplc="E0F6DFEC">
      <w:start w:val="1"/>
      <w:numFmt w:val="bullet"/>
      <w:lvlText w:val=""/>
      <w:lvlJc w:val="left"/>
      <w:pPr>
        <w:ind w:left="720" w:hanging="360"/>
      </w:pPr>
      <w:rPr>
        <w:rFonts w:ascii="Wingdings" w:hAnsi="Wingdings" w:hint="default"/>
        <w:sz w:val="30"/>
        <w:szCs w:val="3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B25C0"/>
    <w:multiLevelType w:val="hybridMultilevel"/>
    <w:tmpl w:val="0FB88C9E"/>
    <w:lvl w:ilvl="0" w:tplc="086C8E24">
      <w:start w:val="1"/>
      <w:numFmt w:val="bullet"/>
      <w:lvlText w:val=""/>
      <w:lvlJc w:val="left"/>
      <w:pPr>
        <w:ind w:left="720" w:hanging="360"/>
      </w:pPr>
      <w:rPr>
        <w:rFonts w:ascii="Wingdings" w:hAnsi="Wingdings"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3"/>
  </w:num>
  <w:num w:numId="6">
    <w:abstractNumId w:val="5"/>
  </w:num>
  <w:num w:numId="7">
    <w:abstractNumId w:val="8"/>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48"/>
    <w:rsid w:val="002433A9"/>
    <w:rsid w:val="00404F62"/>
    <w:rsid w:val="00570648"/>
    <w:rsid w:val="0059768C"/>
    <w:rsid w:val="005C139D"/>
    <w:rsid w:val="00607704"/>
    <w:rsid w:val="00735124"/>
    <w:rsid w:val="0096184B"/>
    <w:rsid w:val="00BB5C8C"/>
    <w:rsid w:val="00E958A4"/>
    <w:rsid w:val="00FF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8953"/>
  <w15:chartTrackingRefBased/>
  <w15:docId w15:val="{D60979E5-E9A0-4E91-9F45-B9F13AA8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648"/>
    <w:rPr>
      <w:color w:val="56C7AA" w:themeColor="hyperlink"/>
      <w:u w:val="single"/>
    </w:rPr>
  </w:style>
  <w:style w:type="paragraph" w:styleId="ListParagraph">
    <w:name w:val="List Paragraph"/>
    <w:basedOn w:val="Normal"/>
    <w:uiPriority w:val="34"/>
    <w:qFormat/>
    <w:rsid w:val="00570648"/>
    <w:pPr>
      <w:ind w:left="720"/>
      <w:contextualSpacing/>
    </w:pPr>
  </w:style>
  <w:style w:type="table" w:styleId="TableGrid">
    <w:name w:val="Table Grid"/>
    <w:basedOn w:val="TableNormal"/>
    <w:uiPriority w:val="39"/>
    <w:rsid w:val="00570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184B"/>
    <w:rPr>
      <w:color w:val="59A8D1" w:themeColor="followedHyperlink"/>
      <w:u w:val="single"/>
    </w:rPr>
  </w:style>
  <w:style w:type="paragraph" w:styleId="BalloonText">
    <w:name w:val="Balloon Text"/>
    <w:basedOn w:val="Normal"/>
    <w:link w:val="BalloonTextChar"/>
    <w:uiPriority w:val="99"/>
    <w:semiHidden/>
    <w:unhideWhenUsed/>
    <w:rsid w:val="00607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csbsju.edu/busschedul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bsju.edu/personalresponsibility" TargetMode="External"/><Relationship Id="rId17" Type="http://schemas.openxmlformats.org/officeDocument/2006/relationships/hyperlink" Target="https://www.csbsju.edu/sju-campus-recreation" TargetMode="External"/><Relationship Id="rId2" Type="http://schemas.openxmlformats.org/officeDocument/2006/relationships/customXml" Target="../customXml/item2.xml"/><Relationship Id="rId16" Type="http://schemas.openxmlformats.org/officeDocument/2006/relationships/hyperlink" Target="https://www.csbsju.edu/csb-campus-recre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bsju.edu/covid-19" TargetMode="External"/><Relationship Id="rId5" Type="http://schemas.openxmlformats.org/officeDocument/2006/relationships/numbering" Target="numbering.xml"/><Relationship Id="rId15" Type="http://schemas.openxmlformats.org/officeDocument/2006/relationships/hyperlink" Target="https://www.csbsju.edu/chp/"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apps.csbsju.edu/calendar/" TargetMode="External"/></Relationships>
</file>

<file path=word/theme/theme1.xml><?xml version="1.0" encoding="utf-8"?>
<a:theme xmlns:a="http://schemas.openxmlformats.org/drawingml/2006/main" name="Droplet">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D5FF8B4D770D4C8D23C9533C6FBBF2" ma:contentTypeVersion="12" ma:contentTypeDescription="Create a new document." ma:contentTypeScope="" ma:versionID="4136fb1cd695ffb63699046173c869c9">
  <xsd:schema xmlns:xsd="http://www.w3.org/2001/XMLSchema" xmlns:xs="http://www.w3.org/2001/XMLSchema" xmlns:p="http://schemas.microsoft.com/office/2006/metadata/properties" xmlns:ns3="42dae360-0afb-499a-8465-e310fded2208" xmlns:ns4="4f267e19-33f5-49c4-b6ad-974b5434b4b8" targetNamespace="http://schemas.microsoft.com/office/2006/metadata/properties" ma:root="true" ma:fieldsID="47a97fea5f4d6cbbb2a406acfb42d4ae" ns3:_="" ns4:_="">
    <xsd:import namespace="42dae360-0afb-499a-8465-e310fded2208"/>
    <xsd:import namespace="4f267e19-33f5-49c4-b6ad-974b5434b4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ae360-0afb-499a-8465-e310fded22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67e19-33f5-49c4-b6ad-974b5434b4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25108-1805-4C63-8B14-152F02E1D3C6}">
  <ds:schemaRefs>
    <ds:schemaRef ds:uri="http://schemas.microsoft.com/sharepoint/v3/contenttype/forms"/>
  </ds:schemaRefs>
</ds:datastoreItem>
</file>

<file path=customXml/itemProps2.xml><?xml version="1.0" encoding="utf-8"?>
<ds:datastoreItem xmlns:ds="http://schemas.openxmlformats.org/officeDocument/2006/customXml" ds:itemID="{9B2B541F-D092-4C8A-A17F-E215DE4A4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ae360-0afb-499a-8465-e310fded2208"/>
    <ds:schemaRef ds:uri="4f267e19-33f5-49c4-b6ad-974b5434b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B0A7A-F165-44AF-BD27-C0172EF63C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F5BDDD-69E8-4239-A8D4-12555B29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553</Words>
  <Characters>2880</Characters>
  <Application>Microsoft Office Word</Application>
  <DocSecurity>0</DocSecurity>
  <Lines>82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Terhaar, Jody</dc:creator>
  <cp:keywords/>
  <dc:description/>
  <cp:lastModifiedBy>Enke, Kathryn</cp:lastModifiedBy>
  <cp:revision>5</cp:revision>
  <dcterms:created xsi:type="dcterms:W3CDTF">2021-01-22T21:05:00Z</dcterms:created>
  <dcterms:modified xsi:type="dcterms:W3CDTF">2021-01-22T21:55:00Z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0x01010032D5FF8B4D770D4C8D23C9533C6FBBF2</vt:lpwstr>
  </property>
</Properties>
</file>